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FDC8" w14:textId="77777777" w:rsidR="00D1413A" w:rsidRDefault="001A7BFA" w:rsidP="00A11DB3">
      <w:r w:rsidRPr="001A7BFA">
        <w:t>Portland Public Schools (PPS) offers the below benefits to full-time temporary employees and variable hour employees.</w:t>
      </w:r>
      <w:r w:rsidR="00357F7D">
        <w:t xml:space="preserve">  </w:t>
      </w:r>
      <w:r w:rsidR="00A11DB3" w:rsidRPr="00A11DB3">
        <w:rPr>
          <w:b/>
        </w:rPr>
        <w:t xml:space="preserve">It is the employee’s responsibility to enroll online in a timely manner to activate benefit elections of their choice and process his/her employment with PPS. </w:t>
      </w:r>
      <w:r w:rsidR="00357F7D">
        <w:rPr>
          <w:b/>
        </w:rPr>
        <w:t xml:space="preserve"> </w:t>
      </w:r>
      <w:r w:rsidR="00A11DB3" w:rsidRPr="00A11DB3">
        <w:t xml:space="preserve">Additional </w:t>
      </w:r>
      <w:r w:rsidR="00A11DB3">
        <w:t xml:space="preserve">PPS </w:t>
      </w:r>
      <w:r w:rsidR="00A11DB3" w:rsidRPr="00A11DB3">
        <w:t xml:space="preserve">benefits information </w:t>
      </w:r>
      <w:r w:rsidR="00357F7D">
        <w:t xml:space="preserve">for the Non-Represented Employee Group </w:t>
      </w:r>
      <w:r w:rsidR="00A11DB3" w:rsidRPr="00A11DB3">
        <w:t xml:space="preserve">may be found </w:t>
      </w:r>
      <w:r w:rsidR="00A11DB3">
        <w:t xml:space="preserve">on the Benefits website </w:t>
      </w:r>
      <w:r w:rsidR="00A11DB3" w:rsidRPr="00A11DB3">
        <w:t>at</w:t>
      </w:r>
      <w:r w:rsidR="00A11DB3">
        <w:t>:</w:t>
      </w:r>
      <w:r w:rsidR="00F67031" w:rsidRPr="00F67031">
        <w:t xml:space="preserve"> </w:t>
      </w:r>
      <w:hyperlink r:id="rId8" w:history="1">
        <w:r w:rsidR="00F67031" w:rsidRPr="00FA09C7">
          <w:rPr>
            <w:rStyle w:val="Hyperlink"/>
          </w:rPr>
          <w:t>https://www.pps.net/Page/1636</w:t>
        </w:r>
      </w:hyperlink>
      <w:r w:rsidR="00A11DB3" w:rsidRPr="00A11DB3">
        <w:t>.</w:t>
      </w:r>
      <w:r w:rsidR="00F67031">
        <w:t xml:space="preserve"> </w:t>
      </w:r>
      <w:r w:rsidR="00A11DB3">
        <w:t xml:space="preserve"> </w:t>
      </w:r>
    </w:p>
    <w:p w14:paraId="2B9FDA11" w14:textId="77777777" w:rsidR="00A11DB3" w:rsidRDefault="007446A8" w:rsidP="00A11DB3">
      <w:r>
        <w:pict w14:anchorId="25450CC9">
          <v:rect id="_x0000_i1026" style="width:0;height:1.5pt" o:hralign="center" o:hrstd="t" o:hr="t" fillcolor="#a0a0a0" stroked="f"/>
        </w:pict>
      </w:r>
    </w:p>
    <w:sdt>
      <w:sdtPr>
        <w:rPr>
          <w:rFonts w:asciiTheme="minorHAnsi" w:eastAsiaTheme="minorHAnsi" w:hAnsiTheme="minorHAnsi" w:cstheme="minorBidi"/>
          <w:b w:val="0"/>
          <w:smallCaps w:val="0"/>
          <w:color w:val="auto"/>
          <w:sz w:val="20"/>
          <w:szCs w:val="22"/>
        </w:rPr>
        <w:id w:val="-808474748"/>
        <w:docPartObj>
          <w:docPartGallery w:val="Table of Contents"/>
          <w:docPartUnique/>
        </w:docPartObj>
      </w:sdtPr>
      <w:sdtEndPr>
        <w:rPr>
          <w:bCs/>
          <w:noProof/>
          <w:sz w:val="19"/>
          <w:szCs w:val="19"/>
        </w:rPr>
      </w:sdtEndPr>
      <w:sdtContent>
        <w:p w14:paraId="2E7D941F" w14:textId="77777777" w:rsidR="00435D46" w:rsidRPr="003C6230" w:rsidRDefault="00435D46" w:rsidP="0014634C">
          <w:pPr>
            <w:pStyle w:val="TOCHeading"/>
            <w:spacing w:before="0"/>
          </w:pPr>
          <w:r w:rsidRPr="003C6230">
            <w:t>Contents</w:t>
          </w:r>
        </w:p>
        <w:p w14:paraId="22A829DA" w14:textId="3755946D" w:rsidR="00586812" w:rsidRPr="005F29E5" w:rsidRDefault="00435D46">
          <w:pPr>
            <w:pStyle w:val="TOC1"/>
            <w:tabs>
              <w:tab w:val="right" w:leader="dot" w:pos="10790"/>
            </w:tabs>
            <w:rPr>
              <w:rFonts w:eastAsiaTheme="minorEastAsia"/>
              <w:noProof/>
              <w:color w:val="2F5496" w:themeColor="accent1" w:themeShade="BF"/>
              <w:sz w:val="22"/>
            </w:rPr>
          </w:pPr>
          <w:r w:rsidRPr="005F29E5">
            <w:rPr>
              <w:color w:val="2F5496" w:themeColor="accent1" w:themeShade="BF"/>
              <w:sz w:val="19"/>
              <w:szCs w:val="19"/>
            </w:rPr>
            <w:fldChar w:fldCharType="begin"/>
          </w:r>
          <w:r w:rsidRPr="005F29E5">
            <w:rPr>
              <w:color w:val="2F5496" w:themeColor="accent1" w:themeShade="BF"/>
              <w:sz w:val="19"/>
              <w:szCs w:val="19"/>
            </w:rPr>
            <w:instrText xml:space="preserve"> TOC \o "1-3" \h \z \u </w:instrText>
          </w:r>
          <w:r w:rsidRPr="005F29E5">
            <w:rPr>
              <w:color w:val="2F5496" w:themeColor="accent1" w:themeShade="BF"/>
              <w:sz w:val="19"/>
              <w:szCs w:val="19"/>
            </w:rPr>
            <w:fldChar w:fldCharType="separate"/>
          </w:r>
          <w:hyperlink w:anchor="_Toc112415791" w:history="1">
            <w:r w:rsidR="00586812" w:rsidRPr="005F29E5">
              <w:rPr>
                <w:rStyle w:val="Hyperlink"/>
                <w:noProof/>
                <w:color w:val="2F5496" w:themeColor="accent1" w:themeShade="BF"/>
              </w:rPr>
              <w:t>PeopleSoft Employee Self-Service (ESS)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_Toc112415791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2</w:t>
            </w:r>
            <w:r w:rsidR="00586812" w:rsidRPr="005F29E5">
              <w:rPr>
                <w:noProof/>
                <w:webHidden/>
                <w:color w:val="2F5496" w:themeColor="accent1" w:themeShade="BF"/>
              </w:rPr>
              <w:fldChar w:fldCharType="end"/>
            </w:r>
          </w:hyperlink>
        </w:p>
        <w:p w14:paraId="285A59B4" w14:textId="2D8A7062" w:rsidR="00586812" w:rsidRPr="005F29E5" w:rsidRDefault="007446A8">
          <w:pPr>
            <w:pStyle w:val="TOC1"/>
            <w:tabs>
              <w:tab w:val="right" w:leader="dot" w:pos="10790"/>
            </w:tabs>
            <w:rPr>
              <w:rFonts w:eastAsiaTheme="minorEastAsia"/>
              <w:noProof/>
              <w:color w:val="2F5496" w:themeColor="accent1" w:themeShade="BF"/>
              <w:sz w:val="22"/>
            </w:rPr>
          </w:pPr>
          <w:hyperlink w:anchor="_Toc112415792" w:history="1">
            <w:r w:rsidR="00586812" w:rsidRPr="005F29E5">
              <w:rPr>
                <w:rStyle w:val="Hyperlink"/>
                <w:noProof/>
                <w:color w:val="2F5496" w:themeColor="accent1" w:themeShade="BF"/>
              </w:rPr>
              <w:t>Medical Insurance</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_Toc112415792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2</w:t>
            </w:r>
            <w:r w:rsidR="00586812" w:rsidRPr="005F29E5">
              <w:rPr>
                <w:noProof/>
                <w:webHidden/>
                <w:color w:val="2F5496" w:themeColor="accent1" w:themeShade="BF"/>
              </w:rPr>
              <w:fldChar w:fldCharType="end"/>
            </w:r>
          </w:hyperlink>
        </w:p>
        <w:p w14:paraId="2D300923" w14:textId="0E91CFDA" w:rsidR="00586812" w:rsidRPr="005F29E5" w:rsidRDefault="007446A8">
          <w:pPr>
            <w:pStyle w:val="TOC2"/>
            <w:tabs>
              <w:tab w:val="right" w:leader="dot" w:pos="10790"/>
            </w:tabs>
            <w:rPr>
              <w:rFonts w:eastAsiaTheme="minorEastAsia"/>
              <w:noProof/>
              <w:color w:val="2F5496" w:themeColor="accent1" w:themeShade="BF"/>
              <w:sz w:val="22"/>
            </w:rPr>
          </w:pPr>
          <w:hyperlink w:anchor="_Toc112415793" w:history="1">
            <w:r w:rsidR="00586812" w:rsidRPr="005F29E5">
              <w:rPr>
                <w:rStyle w:val="Hyperlink"/>
                <w:noProof/>
                <w:color w:val="2F5496" w:themeColor="accent1" w:themeShade="BF"/>
              </w:rPr>
              <w:t>Eligibility</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_Toc112415793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2</w:t>
            </w:r>
            <w:r w:rsidR="00586812" w:rsidRPr="005F29E5">
              <w:rPr>
                <w:noProof/>
                <w:webHidden/>
                <w:color w:val="2F5496" w:themeColor="accent1" w:themeShade="BF"/>
              </w:rPr>
              <w:fldChar w:fldCharType="end"/>
            </w:r>
          </w:hyperlink>
        </w:p>
        <w:p w14:paraId="26DB46C7" w14:textId="3C1859D9" w:rsidR="00586812" w:rsidRPr="005F29E5" w:rsidRDefault="007446A8">
          <w:pPr>
            <w:pStyle w:val="TOC2"/>
            <w:tabs>
              <w:tab w:val="right" w:leader="dot" w:pos="10790"/>
            </w:tabs>
            <w:rPr>
              <w:rFonts w:eastAsiaTheme="minorEastAsia"/>
              <w:noProof/>
              <w:color w:val="2F5496" w:themeColor="accent1" w:themeShade="BF"/>
              <w:sz w:val="22"/>
            </w:rPr>
          </w:pPr>
          <w:hyperlink w:anchor="_Toc112415794" w:history="1">
            <w:r w:rsidR="00586812" w:rsidRPr="005F29E5">
              <w:rPr>
                <w:rStyle w:val="Hyperlink"/>
                <w:noProof/>
                <w:color w:val="2F5496" w:themeColor="accent1" w:themeShade="BF"/>
              </w:rPr>
              <w:t>Medical Insurance Plan Summary</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_Toc112415794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2</w:t>
            </w:r>
            <w:r w:rsidR="00586812" w:rsidRPr="005F29E5">
              <w:rPr>
                <w:noProof/>
                <w:webHidden/>
                <w:color w:val="2F5496" w:themeColor="accent1" w:themeShade="BF"/>
              </w:rPr>
              <w:fldChar w:fldCharType="end"/>
            </w:r>
          </w:hyperlink>
        </w:p>
        <w:p w14:paraId="45370993" w14:textId="476B5384" w:rsidR="00586812" w:rsidRPr="005F29E5" w:rsidRDefault="007446A8">
          <w:pPr>
            <w:pStyle w:val="TOC2"/>
            <w:tabs>
              <w:tab w:val="right" w:leader="dot" w:pos="10790"/>
            </w:tabs>
            <w:rPr>
              <w:rFonts w:eastAsiaTheme="minorEastAsia"/>
              <w:noProof/>
              <w:color w:val="2F5496" w:themeColor="accent1" w:themeShade="BF"/>
              <w:sz w:val="22"/>
            </w:rPr>
          </w:pPr>
          <w:hyperlink w:anchor="_Toc112415795" w:history="1">
            <w:r w:rsidR="00586812" w:rsidRPr="005F29E5">
              <w:rPr>
                <w:rStyle w:val="Hyperlink"/>
                <w:noProof/>
                <w:color w:val="2F5496" w:themeColor="accent1" w:themeShade="BF"/>
              </w:rPr>
              <w:t>What is the cost of the Medical Insurance?</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_Toc112415795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2</w:t>
            </w:r>
            <w:r w:rsidR="00586812" w:rsidRPr="005F29E5">
              <w:rPr>
                <w:noProof/>
                <w:webHidden/>
                <w:color w:val="2F5496" w:themeColor="accent1" w:themeShade="BF"/>
              </w:rPr>
              <w:fldChar w:fldCharType="end"/>
            </w:r>
          </w:hyperlink>
        </w:p>
        <w:p w14:paraId="6B77189A" w14:textId="0C4E5036" w:rsidR="00586812" w:rsidRPr="005F29E5" w:rsidRDefault="007446A8">
          <w:pPr>
            <w:pStyle w:val="TOC2"/>
            <w:tabs>
              <w:tab w:val="right" w:leader="dot" w:pos="10790"/>
            </w:tabs>
            <w:rPr>
              <w:rFonts w:eastAsiaTheme="minorEastAsia"/>
              <w:noProof/>
              <w:color w:val="2F5496" w:themeColor="accent1" w:themeShade="BF"/>
              <w:sz w:val="22"/>
            </w:rPr>
          </w:pPr>
          <w:hyperlink w:anchor="_Toc112415796" w:history="1">
            <w:r w:rsidR="00586812" w:rsidRPr="005F29E5">
              <w:rPr>
                <w:rStyle w:val="Hyperlink"/>
                <w:noProof/>
                <w:color w:val="2F5496" w:themeColor="accent1" w:themeShade="BF"/>
              </w:rPr>
              <w:t>Eligible Dependents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_Toc112415796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2</w:t>
            </w:r>
            <w:r w:rsidR="00586812" w:rsidRPr="005F29E5">
              <w:rPr>
                <w:noProof/>
                <w:webHidden/>
                <w:color w:val="2F5496" w:themeColor="accent1" w:themeShade="BF"/>
              </w:rPr>
              <w:fldChar w:fldCharType="end"/>
            </w:r>
          </w:hyperlink>
        </w:p>
        <w:p w14:paraId="52F7C1BB" w14:textId="3474E090" w:rsidR="00586812" w:rsidRPr="005F29E5" w:rsidRDefault="007446A8">
          <w:pPr>
            <w:pStyle w:val="TOC2"/>
            <w:tabs>
              <w:tab w:val="right" w:leader="dot" w:pos="10790"/>
            </w:tabs>
            <w:rPr>
              <w:rFonts w:eastAsiaTheme="minorEastAsia"/>
              <w:noProof/>
              <w:color w:val="2F5496" w:themeColor="accent1" w:themeShade="BF"/>
              <w:sz w:val="22"/>
            </w:rPr>
          </w:pPr>
          <w:hyperlink w:anchor="_Toc112415797" w:history="1">
            <w:r w:rsidR="00586812" w:rsidRPr="005F29E5">
              <w:rPr>
                <w:rStyle w:val="Hyperlink"/>
                <w:noProof/>
                <w:color w:val="2F5496" w:themeColor="accent1" w:themeShade="BF"/>
              </w:rPr>
              <w:t>Benefits Enrollment &amp; Changes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_Toc112415797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3</w:t>
            </w:r>
            <w:r w:rsidR="00586812" w:rsidRPr="005F29E5">
              <w:rPr>
                <w:noProof/>
                <w:webHidden/>
                <w:color w:val="2F5496" w:themeColor="accent1" w:themeShade="BF"/>
              </w:rPr>
              <w:fldChar w:fldCharType="end"/>
            </w:r>
          </w:hyperlink>
        </w:p>
        <w:p w14:paraId="05D01175" w14:textId="28636A00" w:rsidR="00586812" w:rsidRPr="005F29E5" w:rsidRDefault="007446A8">
          <w:pPr>
            <w:pStyle w:val="TOC2"/>
            <w:tabs>
              <w:tab w:val="right" w:leader="dot" w:pos="10790"/>
            </w:tabs>
            <w:rPr>
              <w:rFonts w:eastAsiaTheme="minorEastAsia"/>
              <w:noProof/>
              <w:color w:val="2F5496" w:themeColor="accent1" w:themeShade="BF"/>
              <w:sz w:val="22"/>
            </w:rPr>
          </w:pPr>
          <w:hyperlink w:anchor="_Toc112415798" w:history="1">
            <w:r w:rsidR="00586812" w:rsidRPr="005F29E5">
              <w:rPr>
                <w:rStyle w:val="Hyperlink"/>
                <w:noProof/>
                <w:color w:val="2F5496" w:themeColor="accent1" w:themeShade="BF"/>
              </w:rPr>
              <w:t>How Do I Make Changes to My Benefits?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_Toc112415798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3</w:t>
            </w:r>
            <w:r w:rsidR="00586812" w:rsidRPr="005F29E5">
              <w:rPr>
                <w:noProof/>
                <w:webHidden/>
                <w:color w:val="2F5496" w:themeColor="accent1" w:themeShade="BF"/>
              </w:rPr>
              <w:fldChar w:fldCharType="end"/>
            </w:r>
          </w:hyperlink>
        </w:p>
        <w:p w14:paraId="1A3A65E9" w14:textId="0869AF44" w:rsidR="00586812" w:rsidRPr="005F29E5" w:rsidRDefault="007446A8">
          <w:pPr>
            <w:pStyle w:val="TOC3"/>
            <w:tabs>
              <w:tab w:val="right" w:leader="dot" w:pos="10790"/>
            </w:tabs>
            <w:rPr>
              <w:rFonts w:eastAsiaTheme="minorEastAsia"/>
              <w:noProof/>
              <w:color w:val="2F5496" w:themeColor="accent1" w:themeShade="BF"/>
              <w:sz w:val="22"/>
            </w:rPr>
          </w:pPr>
          <w:hyperlink w:anchor="_Toc112415799" w:history="1">
            <w:r w:rsidR="00586812" w:rsidRPr="005F29E5">
              <w:rPr>
                <w:rStyle w:val="Hyperlink"/>
                <w:noProof/>
                <w:color w:val="2F5496" w:themeColor="accent1" w:themeShade="BF"/>
              </w:rPr>
              <w:t>Qualifying Events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_Toc112415799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3</w:t>
            </w:r>
            <w:r w:rsidR="00586812" w:rsidRPr="005F29E5">
              <w:rPr>
                <w:noProof/>
                <w:webHidden/>
                <w:color w:val="2F5496" w:themeColor="accent1" w:themeShade="BF"/>
              </w:rPr>
              <w:fldChar w:fldCharType="end"/>
            </w:r>
          </w:hyperlink>
        </w:p>
        <w:p w14:paraId="4D645C28" w14:textId="0C443C0C" w:rsidR="00586812" w:rsidRPr="005F29E5" w:rsidRDefault="007446A8">
          <w:pPr>
            <w:pStyle w:val="TOC3"/>
            <w:tabs>
              <w:tab w:val="right" w:leader="dot" w:pos="10790"/>
            </w:tabs>
            <w:rPr>
              <w:rFonts w:eastAsiaTheme="minorEastAsia"/>
              <w:noProof/>
              <w:color w:val="2F5496" w:themeColor="accent1" w:themeShade="BF"/>
              <w:sz w:val="22"/>
            </w:rPr>
          </w:pPr>
          <w:hyperlink w:anchor="_Toc112415800" w:history="1">
            <w:r w:rsidR="00586812" w:rsidRPr="005F29E5">
              <w:rPr>
                <w:rStyle w:val="Hyperlink"/>
                <w:noProof/>
                <w:color w:val="2F5496" w:themeColor="accent1" w:themeShade="BF"/>
              </w:rPr>
              <w:t>Annual Open Enrollment Period</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_Toc112415800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3</w:t>
            </w:r>
            <w:r w:rsidR="00586812" w:rsidRPr="005F29E5">
              <w:rPr>
                <w:noProof/>
                <w:webHidden/>
                <w:color w:val="2F5496" w:themeColor="accent1" w:themeShade="BF"/>
              </w:rPr>
              <w:fldChar w:fldCharType="end"/>
            </w:r>
          </w:hyperlink>
        </w:p>
        <w:p w14:paraId="1E30536F" w14:textId="5DAE30F4" w:rsidR="00586812" w:rsidRPr="005F29E5" w:rsidRDefault="007446A8">
          <w:pPr>
            <w:pStyle w:val="TOC2"/>
            <w:tabs>
              <w:tab w:val="right" w:leader="dot" w:pos="10790"/>
            </w:tabs>
            <w:rPr>
              <w:rFonts w:eastAsiaTheme="minorEastAsia"/>
              <w:noProof/>
              <w:color w:val="2F5496" w:themeColor="accent1" w:themeShade="BF"/>
              <w:sz w:val="22"/>
            </w:rPr>
          </w:pPr>
          <w:hyperlink w:anchor="_Toc112415801" w:history="1">
            <w:r w:rsidR="00586812" w:rsidRPr="005F29E5">
              <w:rPr>
                <w:rStyle w:val="Hyperlink"/>
                <w:noProof/>
                <w:color w:val="2F5496" w:themeColor="accent1" w:themeShade="BF"/>
              </w:rPr>
              <w:t>Insurance ID cards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_Toc112415801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3</w:t>
            </w:r>
            <w:r w:rsidR="00586812" w:rsidRPr="005F29E5">
              <w:rPr>
                <w:noProof/>
                <w:webHidden/>
                <w:color w:val="2F5496" w:themeColor="accent1" w:themeShade="BF"/>
              </w:rPr>
              <w:fldChar w:fldCharType="end"/>
            </w:r>
          </w:hyperlink>
        </w:p>
        <w:p w14:paraId="3EFD8830" w14:textId="4BCE3227" w:rsidR="00586812" w:rsidRPr="005F29E5" w:rsidRDefault="007446A8">
          <w:pPr>
            <w:pStyle w:val="TOC1"/>
            <w:tabs>
              <w:tab w:val="right" w:leader="dot" w:pos="10790"/>
            </w:tabs>
            <w:rPr>
              <w:rFonts w:eastAsiaTheme="minorEastAsia"/>
              <w:noProof/>
              <w:color w:val="2F5496" w:themeColor="accent1" w:themeShade="BF"/>
              <w:sz w:val="22"/>
            </w:rPr>
          </w:pPr>
          <w:hyperlink w:anchor="_Toc112415802" w:history="1">
            <w:r w:rsidR="00586812" w:rsidRPr="005F29E5">
              <w:rPr>
                <w:rStyle w:val="Hyperlink"/>
                <w:noProof/>
                <w:color w:val="2F5496" w:themeColor="accent1" w:themeShade="BF"/>
              </w:rPr>
              <w:t>Retirement Benefits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_Toc112415802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3</w:t>
            </w:r>
            <w:r w:rsidR="00586812" w:rsidRPr="005F29E5">
              <w:rPr>
                <w:noProof/>
                <w:webHidden/>
                <w:color w:val="2F5496" w:themeColor="accent1" w:themeShade="BF"/>
              </w:rPr>
              <w:fldChar w:fldCharType="end"/>
            </w:r>
          </w:hyperlink>
        </w:p>
        <w:p w14:paraId="1F5E827D" w14:textId="46777A5D" w:rsidR="00586812" w:rsidRPr="005F29E5" w:rsidRDefault="007446A8">
          <w:pPr>
            <w:pStyle w:val="TOC2"/>
            <w:tabs>
              <w:tab w:val="right" w:leader="dot" w:pos="10790"/>
            </w:tabs>
            <w:rPr>
              <w:rFonts w:eastAsiaTheme="minorEastAsia"/>
              <w:noProof/>
              <w:color w:val="2F5496" w:themeColor="accent1" w:themeShade="BF"/>
              <w:sz w:val="22"/>
            </w:rPr>
          </w:pPr>
          <w:hyperlink w:anchor="_Toc112415803" w:history="1">
            <w:r w:rsidR="00586812" w:rsidRPr="005F29E5">
              <w:rPr>
                <w:rStyle w:val="Hyperlink"/>
                <w:noProof/>
                <w:color w:val="2F5496" w:themeColor="accent1" w:themeShade="BF"/>
              </w:rPr>
              <w:t>OPSRP - Oregon Public Services Retirement Plan (required if eligible)</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_Toc112415803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3</w:t>
            </w:r>
            <w:r w:rsidR="00586812" w:rsidRPr="005F29E5">
              <w:rPr>
                <w:noProof/>
                <w:webHidden/>
                <w:color w:val="2F5496" w:themeColor="accent1" w:themeShade="BF"/>
              </w:rPr>
              <w:fldChar w:fldCharType="end"/>
            </w:r>
          </w:hyperlink>
        </w:p>
        <w:p w14:paraId="07C0C237" w14:textId="7AADF0C7" w:rsidR="00586812" w:rsidRPr="005F29E5" w:rsidRDefault="007446A8">
          <w:pPr>
            <w:pStyle w:val="TOC2"/>
            <w:tabs>
              <w:tab w:val="right" w:leader="dot" w:pos="10790"/>
            </w:tabs>
            <w:rPr>
              <w:rFonts w:eastAsiaTheme="minorEastAsia"/>
              <w:noProof/>
              <w:color w:val="2F5496" w:themeColor="accent1" w:themeShade="BF"/>
              <w:sz w:val="22"/>
            </w:rPr>
          </w:pPr>
          <w:hyperlink w:anchor="_Toc112415804" w:history="1">
            <w:r w:rsidR="00586812" w:rsidRPr="005F29E5">
              <w:rPr>
                <w:rStyle w:val="Hyperlink"/>
                <w:noProof/>
                <w:color w:val="2F5496" w:themeColor="accent1" w:themeShade="BF"/>
              </w:rPr>
              <w:t>403(b) Plan Tax Deferred Annuity (voluntary)</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_Toc112415804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4</w:t>
            </w:r>
            <w:r w:rsidR="00586812" w:rsidRPr="005F29E5">
              <w:rPr>
                <w:noProof/>
                <w:webHidden/>
                <w:color w:val="2F5496" w:themeColor="accent1" w:themeShade="BF"/>
              </w:rPr>
              <w:fldChar w:fldCharType="end"/>
            </w:r>
          </w:hyperlink>
        </w:p>
        <w:p w14:paraId="08E7726E" w14:textId="230B8355" w:rsidR="00586812" w:rsidRPr="005F29E5" w:rsidRDefault="007446A8">
          <w:pPr>
            <w:pStyle w:val="TOC1"/>
            <w:tabs>
              <w:tab w:val="right" w:leader="dot" w:pos="10790"/>
            </w:tabs>
            <w:rPr>
              <w:rFonts w:eastAsiaTheme="minorEastAsia"/>
              <w:noProof/>
              <w:color w:val="2F5496" w:themeColor="accent1" w:themeShade="BF"/>
              <w:sz w:val="22"/>
            </w:rPr>
          </w:pPr>
          <w:hyperlink w:anchor="_Toc112415805" w:history="1">
            <w:r w:rsidR="00586812" w:rsidRPr="005F29E5">
              <w:rPr>
                <w:rStyle w:val="Hyperlink"/>
                <w:noProof/>
                <w:color w:val="2F5496" w:themeColor="accent1" w:themeShade="BF"/>
              </w:rPr>
              <w:t>What Leave Plans Are Available to Me?</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_Toc112415805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4</w:t>
            </w:r>
            <w:r w:rsidR="00586812" w:rsidRPr="005F29E5">
              <w:rPr>
                <w:noProof/>
                <w:webHidden/>
                <w:color w:val="2F5496" w:themeColor="accent1" w:themeShade="BF"/>
              </w:rPr>
              <w:fldChar w:fldCharType="end"/>
            </w:r>
          </w:hyperlink>
        </w:p>
        <w:p w14:paraId="321D8D26" w14:textId="7D25E3CB" w:rsidR="00586812" w:rsidRPr="005F29E5" w:rsidRDefault="007446A8">
          <w:pPr>
            <w:pStyle w:val="TOC2"/>
            <w:tabs>
              <w:tab w:val="right" w:leader="dot" w:pos="10790"/>
            </w:tabs>
            <w:rPr>
              <w:rFonts w:eastAsiaTheme="minorEastAsia"/>
              <w:noProof/>
              <w:color w:val="2F5496" w:themeColor="accent1" w:themeShade="BF"/>
              <w:sz w:val="22"/>
            </w:rPr>
          </w:pPr>
          <w:hyperlink w:anchor="_Toc112415806" w:history="1">
            <w:r w:rsidR="00586812" w:rsidRPr="005F29E5">
              <w:rPr>
                <w:rStyle w:val="Hyperlink"/>
                <w:noProof/>
                <w:color w:val="2F5496" w:themeColor="accent1" w:themeShade="BF"/>
              </w:rPr>
              <w:t>Sick Leave</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_Toc112415806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4</w:t>
            </w:r>
            <w:r w:rsidR="00586812" w:rsidRPr="005F29E5">
              <w:rPr>
                <w:noProof/>
                <w:webHidden/>
                <w:color w:val="2F5496" w:themeColor="accent1" w:themeShade="BF"/>
              </w:rPr>
              <w:fldChar w:fldCharType="end"/>
            </w:r>
          </w:hyperlink>
        </w:p>
        <w:p w14:paraId="32BCC492" w14:textId="02F32441" w:rsidR="00586812" w:rsidRPr="005F29E5" w:rsidRDefault="007446A8">
          <w:pPr>
            <w:pStyle w:val="TOC2"/>
            <w:tabs>
              <w:tab w:val="right" w:leader="dot" w:pos="10790"/>
            </w:tabs>
            <w:rPr>
              <w:rFonts w:eastAsiaTheme="minorEastAsia"/>
              <w:noProof/>
              <w:color w:val="2F5496" w:themeColor="accent1" w:themeShade="BF"/>
              <w:sz w:val="22"/>
            </w:rPr>
          </w:pPr>
          <w:hyperlink w:anchor="_Toc112415807" w:history="1">
            <w:r w:rsidR="00586812" w:rsidRPr="005F29E5">
              <w:rPr>
                <w:rStyle w:val="Hyperlink"/>
                <w:noProof/>
                <w:color w:val="2F5496" w:themeColor="accent1" w:themeShade="BF"/>
              </w:rPr>
              <w:t>Holidays</w:t>
            </w:r>
            <w:r w:rsidR="00586812" w:rsidRPr="005F29E5">
              <w:rPr>
                <w:noProof/>
                <w:webHidden/>
                <w:color w:val="2F5496" w:themeColor="accent1" w:themeShade="BF"/>
              </w:rPr>
              <w:tab/>
            </w:r>
            <w:r w:rsidR="00586812" w:rsidRPr="005F29E5">
              <w:rPr>
                <w:noProof/>
                <w:webHidden/>
                <w:color w:val="2F5496" w:themeColor="accent1" w:themeShade="BF"/>
              </w:rPr>
              <w:fldChar w:fldCharType="begin"/>
            </w:r>
            <w:r w:rsidR="00586812" w:rsidRPr="005F29E5">
              <w:rPr>
                <w:noProof/>
                <w:webHidden/>
                <w:color w:val="2F5496" w:themeColor="accent1" w:themeShade="BF"/>
              </w:rPr>
              <w:instrText xml:space="preserve"> PAGEREF _Toc112415807 \h </w:instrText>
            </w:r>
            <w:r w:rsidR="00586812" w:rsidRPr="005F29E5">
              <w:rPr>
                <w:noProof/>
                <w:webHidden/>
                <w:color w:val="2F5496" w:themeColor="accent1" w:themeShade="BF"/>
              </w:rPr>
            </w:r>
            <w:r w:rsidR="00586812" w:rsidRPr="005F29E5">
              <w:rPr>
                <w:noProof/>
                <w:webHidden/>
                <w:color w:val="2F5496" w:themeColor="accent1" w:themeShade="BF"/>
              </w:rPr>
              <w:fldChar w:fldCharType="separate"/>
            </w:r>
            <w:r w:rsidR="00D3518A">
              <w:rPr>
                <w:noProof/>
                <w:webHidden/>
                <w:color w:val="2F5496" w:themeColor="accent1" w:themeShade="BF"/>
              </w:rPr>
              <w:t>4</w:t>
            </w:r>
            <w:r w:rsidR="00586812" w:rsidRPr="005F29E5">
              <w:rPr>
                <w:noProof/>
                <w:webHidden/>
                <w:color w:val="2F5496" w:themeColor="accent1" w:themeShade="BF"/>
              </w:rPr>
              <w:fldChar w:fldCharType="end"/>
            </w:r>
          </w:hyperlink>
        </w:p>
        <w:p w14:paraId="0ECDDFBF" w14:textId="77777777" w:rsidR="00E23C66" w:rsidRPr="0014634C" w:rsidRDefault="00435D46" w:rsidP="00451087">
          <w:pPr>
            <w:pStyle w:val="TOC1"/>
            <w:tabs>
              <w:tab w:val="right" w:leader="dot" w:pos="10790"/>
            </w:tabs>
            <w:rPr>
              <w:bCs/>
              <w:noProof/>
              <w:sz w:val="19"/>
              <w:szCs w:val="19"/>
            </w:rPr>
          </w:pPr>
          <w:r w:rsidRPr="005F29E5">
            <w:rPr>
              <w:b/>
              <w:bCs/>
              <w:noProof/>
              <w:color w:val="2F5496" w:themeColor="accent1" w:themeShade="BF"/>
              <w:sz w:val="19"/>
              <w:szCs w:val="19"/>
            </w:rPr>
            <w:fldChar w:fldCharType="end"/>
          </w:r>
        </w:p>
      </w:sdtContent>
    </w:sdt>
    <w:p w14:paraId="0B0D598A" w14:textId="77777777" w:rsidR="0047405E" w:rsidRDefault="0047405E">
      <w:pPr>
        <w:rPr>
          <w:rFonts w:ascii="Cambria" w:eastAsiaTheme="majorEastAsia" w:hAnsi="Cambria" w:cstheme="majorBidi"/>
          <w:b/>
          <w:smallCaps/>
          <w:color w:val="2F5496" w:themeColor="accent1" w:themeShade="BF"/>
          <w:sz w:val="32"/>
          <w:szCs w:val="32"/>
        </w:rPr>
      </w:pPr>
      <w:r>
        <w:br w:type="page"/>
      </w:r>
    </w:p>
    <w:p w14:paraId="1A30AA9F" w14:textId="77777777" w:rsidR="00A11DB3" w:rsidRDefault="00A11DB3" w:rsidP="002B7C7D">
      <w:pPr>
        <w:pStyle w:val="Heading1"/>
      </w:pPr>
      <w:bookmarkStart w:id="0" w:name="_Toc112415791"/>
      <w:r>
        <w:lastRenderedPageBreak/>
        <w:t>PeopleSoft Employee Self-Service (ESS)</w:t>
      </w:r>
      <w:bookmarkEnd w:id="0"/>
    </w:p>
    <w:p w14:paraId="580E6509" w14:textId="77777777" w:rsidR="00A11DB3" w:rsidRDefault="00A11DB3" w:rsidP="00A11DB3">
      <w:r>
        <w:t xml:space="preserve">The </w:t>
      </w:r>
      <w:r w:rsidRPr="00A11DB3">
        <w:rPr>
          <w:b/>
        </w:rPr>
        <w:t>PeopleSoft Employee Self-Service (ESS) Portal</w:t>
      </w:r>
      <w:r>
        <w:t xml:space="preserve"> (</w:t>
      </w:r>
      <w:hyperlink r:id="rId9" w:history="1">
        <w:r w:rsidRPr="00F85E6F">
          <w:rPr>
            <w:rStyle w:val="Hyperlink"/>
          </w:rPr>
          <w:t>https://selfservice.pps.net</w:t>
        </w:r>
      </w:hyperlink>
      <w:r>
        <w:t>) gives employees access to view and make changes to certain personal information:</w:t>
      </w:r>
    </w:p>
    <w:p w14:paraId="3B46EADA" w14:textId="77777777" w:rsidR="00A11DB3" w:rsidRDefault="00A11DB3" w:rsidP="00A11DB3"/>
    <w:p w14:paraId="2AAC8C35" w14:textId="77777777" w:rsidR="00A11DB3" w:rsidRDefault="00A11DB3" w:rsidP="000E70D0">
      <w:pPr>
        <w:sectPr w:rsidR="00A11DB3" w:rsidSect="0014634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14:paraId="388B8D05" w14:textId="77777777" w:rsidR="00A11DB3" w:rsidRDefault="00A11DB3" w:rsidP="00A11DB3">
      <w:pPr>
        <w:pStyle w:val="ListParagraph"/>
        <w:numPr>
          <w:ilvl w:val="0"/>
          <w:numId w:val="1"/>
        </w:numPr>
      </w:pPr>
      <w:r>
        <w:t>Paychecks</w:t>
      </w:r>
    </w:p>
    <w:p w14:paraId="5CADC265" w14:textId="77777777" w:rsidR="00A11DB3" w:rsidRDefault="00A11DB3" w:rsidP="00A11DB3">
      <w:pPr>
        <w:pStyle w:val="ListParagraph"/>
        <w:numPr>
          <w:ilvl w:val="0"/>
          <w:numId w:val="1"/>
        </w:numPr>
      </w:pPr>
      <w:r>
        <w:t>W-2</w:t>
      </w:r>
    </w:p>
    <w:p w14:paraId="110784C5" w14:textId="77777777" w:rsidR="00A11DB3" w:rsidRDefault="00A11DB3" w:rsidP="00A11DB3">
      <w:pPr>
        <w:pStyle w:val="ListParagraph"/>
        <w:numPr>
          <w:ilvl w:val="0"/>
          <w:numId w:val="1"/>
        </w:numPr>
      </w:pPr>
      <w:r>
        <w:t>Tax Withholding Allowances (W-4)</w:t>
      </w:r>
    </w:p>
    <w:p w14:paraId="687D3881" w14:textId="77777777" w:rsidR="00A11DB3" w:rsidRDefault="00A11DB3" w:rsidP="00A11DB3">
      <w:pPr>
        <w:pStyle w:val="ListParagraph"/>
        <w:numPr>
          <w:ilvl w:val="0"/>
          <w:numId w:val="1"/>
        </w:numPr>
      </w:pPr>
      <w:r>
        <w:t>Direct Deposit</w:t>
      </w:r>
    </w:p>
    <w:p w14:paraId="26ED9CE2" w14:textId="77777777" w:rsidR="00A11DB3" w:rsidRDefault="00A11DB3" w:rsidP="00A11DB3">
      <w:pPr>
        <w:pStyle w:val="ListParagraph"/>
        <w:numPr>
          <w:ilvl w:val="0"/>
          <w:numId w:val="1"/>
        </w:numPr>
      </w:pPr>
      <w:r>
        <w:t>Home Addresses</w:t>
      </w:r>
    </w:p>
    <w:p w14:paraId="04A852C9" w14:textId="77777777" w:rsidR="00A11DB3" w:rsidRDefault="00A11DB3" w:rsidP="00A11DB3">
      <w:pPr>
        <w:pStyle w:val="ListParagraph"/>
        <w:numPr>
          <w:ilvl w:val="0"/>
          <w:numId w:val="1"/>
        </w:numPr>
      </w:pPr>
      <w:r>
        <w:t>Phone Numbers</w:t>
      </w:r>
    </w:p>
    <w:p w14:paraId="487CA3D7" w14:textId="77777777" w:rsidR="00A11DB3" w:rsidRDefault="00A11DB3" w:rsidP="00A11DB3">
      <w:pPr>
        <w:pStyle w:val="ListParagraph"/>
        <w:numPr>
          <w:ilvl w:val="0"/>
          <w:numId w:val="1"/>
        </w:numPr>
      </w:pPr>
      <w:r>
        <w:t>Personal Email Addresses</w:t>
      </w:r>
    </w:p>
    <w:p w14:paraId="70A63922" w14:textId="77777777" w:rsidR="00A11DB3" w:rsidRDefault="00A11DB3" w:rsidP="00A11DB3">
      <w:pPr>
        <w:pStyle w:val="ListParagraph"/>
        <w:numPr>
          <w:ilvl w:val="0"/>
          <w:numId w:val="1"/>
        </w:numPr>
      </w:pPr>
      <w:r>
        <w:t>Emergency Contacts</w:t>
      </w:r>
    </w:p>
    <w:p w14:paraId="33EAB8E0" w14:textId="77777777" w:rsidR="00A11DB3" w:rsidRDefault="00A11DB3" w:rsidP="00A11DB3">
      <w:pPr>
        <w:pStyle w:val="ListParagraph"/>
        <w:numPr>
          <w:ilvl w:val="0"/>
          <w:numId w:val="1"/>
        </w:numPr>
      </w:pPr>
      <w:r>
        <w:t>Benefits Enrollment</w:t>
      </w:r>
    </w:p>
    <w:p w14:paraId="4EC33607" w14:textId="77777777" w:rsidR="00A11DB3" w:rsidRDefault="00A11DB3" w:rsidP="00A11DB3">
      <w:pPr>
        <w:pStyle w:val="ListParagraph"/>
        <w:numPr>
          <w:ilvl w:val="0"/>
          <w:numId w:val="1"/>
        </w:numPr>
      </w:pPr>
      <w:r>
        <w:t>Dependent/Beneficiary Information</w:t>
      </w:r>
    </w:p>
    <w:p w14:paraId="31FC7D6A" w14:textId="77777777" w:rsidR="00A11DB3" w:rsidRDefault="00A11DB3" w:rsidP="00A11DB3">
      <w:pPr>
        <w:pStyle w:val="ListParagraph"/>
        <w:numPr>
          <w:ilvl w:val="0"/>
          <w:numId w:val="1"/>
        </w:numPr>
      </w:pPr>
      <w:r>
        <w:t>Add Life Events</w:t>
      </w:r>
    </w:p>
    <w:p w14:paraId="3E64214D" w14:textId="77777777" w:rsidR="00A11DB3" w:rsidRDefault="00A11DB3" w:rsidP="00A11DB3">
      <w:pPr>
        <w:pStyle w:val="ListParagraph"/>
        <w:numPr>
          <w:ilvl w:val="0"/>
          <w:numId w:val="1"/>
        </w:numPr>
      </w:pPr>
      <w:r>
        <w:t>403(b) Changes</w:t>
      </w:r>
    </w:p>
    <w:p w14:paraId="225E5FFD" w14:textId="77777777" w:rsidR="00A11DB3" w:rsidRDefault="00A11DB3" w:rsidP="00A11DB3">
      <w:pPr>
        <w:sectPr w:rsidR="00A11DB3" w:rsidSect="004F2B87">
          <w:type w:val="continuous"/>
          <w:pgSz w:w="12240" w:h="15840"/>
          <w:pgMar w:top="720" w:right="720" w:bottom="720" w:left="720" w:header="720" w:footer="720" w:gutter="0"/>
          <w:cols w:num="3" w:space="720"/>
          <w:docGrid w:linePitch="360"/>
        </w:sectPr>
      </w:pPr>
    </w:p>
    <w:p w14:paraId="19953EA9" w14:textId="77777777" w:rsidR="00A11DB3" w:rsidRDefault="00A11DB3" w:rsidP="00A11DB3"/>
    <w:p w14:paraId="0D919364" w14:textId="77777777" w:rsidR="00A11DB3" w:rsidRDefault="00A11DB3" w:rsidP="00A11DB3">
      <w:r>
        <w:t>This is a secure site that will maintain data integrity while also allowing access to your vital information and is accessible from inside and outside of the PPS network.</w:t>
      </w:r>
    </w:p>
    <w:p w14:paraId="24D02D6F" w14:textId="77777777" w:rsidR="00A11DB3" w:rsidRDefault="00A11DB3" w:rsidP="00A11DB3"/>
    <w:p w14:paraId="616BC773" w14:textId="77777777" w:rsidR="004A23F2" w:rsidRDefault="00A11DB3" w:rsidP="00240997">
      <w:pPr>
        <w:spacing w:after="160"/>
      </w:pPr>
      <w:r w:rsidRPr="00A11DB3">
        <w:rPr>
          <w:b/>
          <w:i/>
        </w:rPr>
        <w:t>PeopleSoft ESS Login Issues?</w:t>
      </w:r>
      <w:r>
        <w:t xml:space="preserve">  Contact </w:t>
      </w:r>
      <w:r w:rsidRPr="00A11DB3">
        <w:rPr>
          <w:b/>
        </w:rPr>
        <w:t>PPS IT Service Desk</w:t>
      </w:r>
      <w:r>
        <w:t xml:space="preserve"> at 503-916-3375</w:t>
      </w:r>
    </w:p>
    <w:p w14:paraId="7ECF7598" w14:textId="77777777" w:rsidR="002B7C7D" w:rsidRDefault="007446A8" w:rsidP="00240997">
      <w:pPr>
        <w:spacing w:after="160"/>
      </w:pPr>
      <w:r>
        <w:pict w14:anchorId="65084712">
          <v:rect id="_x0000_i1027" style="width:0;height:1.5pt" o:hralign="center" o:hrstd="t" o:hr="t" fillcolor="#a0a0a0" stroked="f"/>
        </w:pict>
      </w:r>
    </w:p>
    <w:p w14:paraId="77DF3ADB" w14:textId="77777777" w:rsidR="00A11DB3" w:rsidRDefault="001A7BFA" w:rsidP="002B7C7D">
      <w:pPr>
        <w:pStyle w:val="Heading1"/>
      </w:pPr>
      <w:bookmarkStart w:id="1" w:name="_Toc112415792"/>
      <w:r>
        <w:t>Medical Insurance</w:t>
      </w:r>
      <w:bookmarkEnd w:id="1"/>
    </w:p>
    <w:p w14:paraId="49E1E077" w14:textId="77777777" w:rsidR="00A11DB3" w:rsidRDefault="001A7BFA" w:rsidP="002B7C7D">
      <w:pPr>
        <w:pStyle w:val="Heading2"/>
      </w:pPr>
      <w:bookmarkStart w:id="2" w:name="_Toc112415793"/>
      <w:r>
        <w:t>Eligibility</w:t>
      </w:r>
      <w:bookmarkEnd w:id="2"/>
    </w:p>
    <w:p w14:paraId="796D0746" w14:textId="77777777" w:rsidR="001A7BFA" w:rsidRPr="001A7BFA" w:rsidRDefault="001A7BFA" w:rsidP="001A7BFA">
      <w:pPr>
        <w:rPr>
          <w:sz w:val="24"/>
          <w:u w:val="single"/>
        </w:rPr>
      </w:pPr>
      <w:r w:rsidRPr="001A7BFA">
        <w:rPr>
          <w:b/>
          <w:bCs/>
          <w:sz w:val="24"/>
          <w:u w:val="single"/>
        </w:rPr>
        <w:t>Temporary Employees</w:t>
      </w:r>
    </w:p>
    <w:p w14:paraId="66BD04A9" w14:textId="77777777" w:rsidR="001A7BFA" w:rsidRPr="001A7BFA" w:rsidRDefault="001A7BFA" w:rsidP="001A7BFA">
      <w:pPr>
        <w:numPr>
          <w:ilvl w:val="0"/>
          <w:numId w:val="36"/>
        </w:numPr>
      </w:pPr>
      <w:r w:rsidRPr="001A7BFA">
        <w:t>Employees working in a regularly scheduled position of 30 hours or more for at least 90 days.</w:t>
      </w:r>
    </w:p>
    <w:p w14:paraId="7C68A786" w14:textId="422C70BA" w:rsidR="001A7BFA" w:rsidRPr="001A7BFA" w:rsidRDefault="001A7BFA" w:rsidP="001A7BFA">
      <w:pPr>
        <w:numPr>
          <w:ilvl w:val="0"/>
          <w:numId w:val="36"/>
        </w:numPr>
      </w:pPr>
      <w:r w:rsidRPr="001A7BFA">
        <w:t>Benefits are effective the first of the month after two (2) full months of full-time employment.  T</w:t>
      </w:r>
      <w:r w:rsidR="00232A8E">
        <w:t>he employee will be sent enrollment instructions and will have 31 days to enroll.</w:t>
      </w:r>
    </w:p>
    <w:p w14:paraId="55EFC19B" w14:textId="77777777" w:rsidR="001A7BFA" w:rsidRDefault="001A7BFA" w:rsidP="001A7BFA">
      <w:pPr>
        <w:numPr>
          <w:ilvl w:val="0"/>
          <w:numId w:val="36"/>
        </w:numPr>
      </w:pPr>
      <w:r w:rsidRPr="001A7BFA">
        <w:t>Coverage will terminate at the end of the month the employee’s employment ends or employee ceases to be paid, unless such time occurs after the 16th of the month, then coverage terminates at the end of the following month.</w:t>
      </w:r>
    </w:p>
    <w:p w14:paraId="69E32FF2" w14:textId="77777777" w:rsidR="002F036F" w:rsidRDefault="002F036F" w:rsidP="002F036F"/>
    <w:p w14:paraId="4BB3528C" w14:textId="77777777" w:rsidR="002F036F" w:rsidRPr="002F036F" w:rsidRDefault="002F036F" w:rsidP="002F036F">
      <w:pPr>
        <w:rPr>
          <w:sz w:val="24"/>
          <w:szCs w:val="24"/>
          <w:u w:val="single"/>
        </w:rPr>
      </w:pPr>
      <w:r w:rsidRPr="002F036F">
        <w:rPr>
          <w:b/>
          <w:bCs/>
          <w:sz w:val="24"/>
          <w:szCs w:val="24"/>
          <w:u w:val="single"/>
        </w:rPr>
        <w:t>Variable Hour Employees, i.e., limited term or substitutes (excludes Sub Teachers)</w:t>
      </w:r>
    </w:p>
    <w:p w14:paraId="39729376" w14:textId="0006A683" w:rsidR="002F036F" w:rsidRDefault="002F036F" w:rsidP="002F036F">
      <w:pPr>
        <w:numPr>
          <w:ilvl w:val="0"/>
          <w:numId w:val="40"/>
        </w:numPr>
      </w:pPr>
      <w:r w:rsidRPr="002F036F">
        <w:t>Employees must average 30 hours or more per week during the 12-month period from July 16, 202</w:t>
      </w:r>
      <w:r w:rsidR="0060588D">
        <w:t>3</w:t>
      </w:r>
      <w:r w:rsidRPr="002F036F">
        <w:t>-July 15,202</w:t>
      </w:r>
      <w:r w:rsidR="0060588D">
        <w:t>4</w:t>
      </w:r>
      <w:r w:rsidRPr="002F036F">
        <w:t>.</w:t>
      </w:r>
    </w:p>
    <w:p w14:paraId="7B8FDE18" w14:textId="30DC4F6B" w:rsidR="002F036F" w:rsidRPr="001A7BFA" w:rsidRDefault="002F036F" w:rsidP="002F036F">
      <w:pPr>
        <w:numPr>
          <w:ilvl w:val="0"/>
          <w:numId w:val="40"/>
        </w:numPr>
      </w:pPr>
      <w:r w:rsidRPr="002F036F">
        <w:t xml:space="preserve">Employees </w:t>
      </w:r>
      <w:r w:rsidR="0092047C">
        <w:t xml:space="preserve">will be sent </w:t>
      </w:r>
      <w:r w:rsidRPr="002F036F">
        <w:t xml:space="preserve">Open Enrollment </w:t>
      </w:r>
      <w:r w:rsidR="007446A8">
        <w:t>information</w:t>
      </w:r>
      <w:r w:rsidRPr="002F036F">
        <w:t xml:space="preserve"> on or around August 15th. Employees will be eligible for benefits for the stability period from October 1, 202</w:t>
      </w:r>
      <w:r w:rsidR="0060588D">
        <w:t>4</w:t>
      </w:r>
      <w:r w:rsidRPr="002F036F">
        <w:t>-September 30, 202</w:t>
      </w:r>
      <w:r w:rsidR="0060588D">
        <w:t>5</w:t>
      </w:r>
      <w:r w:rsidRPr="002F036F">
        <w:t>, as long as they are active.</w:t>
      </w:r>
    </w:p>
    <w:p w14:paraId="594842D1" w14:textId="77777777" w:rsidR="001A7BFA" w:rsidRDefault="001A7BFA" w:rsidP="001A7BFA"/>
    <w:p w14:paraId="44382EC2" w14:textId="77777777" w:rsidR="00A11DB3" w:rsidRDefault="001A7BFA" w:rsidP="002B7C7D">
      <w:pPr>
        <w:pStyle w:val="Heading2"/>
      </w:pPr>
      <w:bookmarkStart w:id="3" w:name="_Toc112415794"/>
      <w:r>
        <w:t>Medical Insurance Plan Summary</w:t>
      </w:r>
      <w:bookmarkStart w:id="4" w:name="_GoBack"/>
      <w:bookmarkEnd w:id="3"/>
      <w:bookmarkEnd w:id="4"/>
    </w:p>
    <w:p w14:paraId="3A66925B" w14:textId="77777777" w:rsidR="001A7BFA" w:rsidRDefault="001A7BFA" w:rsidP="004A23F2">
      <w:r>
        <w:t>For the plan summary:</w:t>
      </w:r>
    </w:p>
    <w:p w14:paraId="0C098AA6" w14:textId="77777777" w:rsidR="001A7BFA" w:rsidRDefault="001A7BFA" w:rsidP="001A7BFA">
      <w:pPr>
        <w:pStyle w:val="ListParagraph"/>
        <w:numPr>
          <w:ilvl w:val="0"/>
          <w:numId w:val="38"/>
        </w:numPr>
      </w:pPr>
      <w:r>
        <w:t xml:space="preserve">Go to </w:t>
      </w:r>
      <w:hyperlink r:id="rId16" w:history="1">
        <w:r w:rsidR="004833B7" w:rsidRPr="00810E5A">
          <w:rPr>
            <w:rStyle w:val="Hyperlink"/>
          </w:rPr>
          <w:t>https://mybenefits.kaiserpermanente.org/oebb/plans</w:t>
        </w:r>
      </w:hyperlink>
      <w:r w:rsidR="004833B7">
        <w:t xml:space="preserve"> </w:t>
      </w:r>
    </w:p>
    <w:p w14:paraId="6518B0C2" w14:textId="44BA1F47" w:rsidR="001A7BFA" w:rsidRDefault="001A7BFA" w:rsidP="001A7BFA">
      <w:pPr>
        <w:pStyle w:val="ListParagraph"/>
        <w:numPr>
          <w:ilvl w:val="0"/>
          <w:numId w:val="38"/>
        </w:numPr>
      </w:pPr>
      <w:r w:rsidRPr="001A7BFA">
        <w:t xml:space="preserve">Click on </w:t>
      </w:r>
      <w:r w:rsidRPr="001A7BFA">
        <w:rPr>
          <w:b/>
        </w:rPr>
        <w:t xml:space="preserve">Bronze Plan </w:t>
      </w:r>
      <w:r w:rsidR="004833B7">
        <w:rPr>
          <w:b/>
        </w:rPr>
        <w:t xml:space="preserve">documents </w:t>
      </w:r>
      <w:r w:rsidRPr="001A7BFA">
        <w:rPr>
          <w:b/>
        </w:rPr>
        <w:t>(high deductible - Effective 10/01/2</w:t>
      </w:r>
      <w:r w:rsidR="00377F7A">
        <w:rPr>
          <w:b/>
        </w:rPr>
        <w:t>3</w:t>
      </w:r>
      <w:r w:rsidRPr="001A7BFA">
        <w:rPr>
          <w:b/>
        </w:rPr>
        <w:t xml:space="preserve"> - 09/30/2</w:t>
      </w:r>
      <w:r w:rsidR="0060588D">
        <w:rPr>
          <w:b/>
        </w:rPr>
        <w:t>4</w:t>
      </w:r>
      <w:r w:rsidRPr="001A7BFA">
        <w:rPr>
          <w:b/>
        </w:rPr>
        <w:t>)</w:t>
      </w:r>
      <w:r w:rsidRPr="001A7BFA">
        <w:t>.</w:t>
      </w:r>
      <w:r w:rsidR="004833B7">
        <w:t xml:space="preserve"> You will find the Evidence of Coverage and Summary of Benefits and Coverage documents posted.</w:t>
      </w:r>
    </w:p>
    <w:p w14:paraId="7F41F3FD" w14:textId="77777777" w:rsidR="004A23F2" w:rsidRDefault="004A23F2" w:rsidP="004A23F2"/>
    <w:p w14:paraId="203A383C" w14:textId="77777777" w:rsidR="00D53087" w:rsidRDefault="001A7BFA" w:rsidP="00D53087">
      <w:pPr>
        <w:pStyle w:val="Heading2"/>
      </w:pPr>
      <w:bookmarkStart w:id="5" w:name="_Toc112415795"/>
      <w:r>
        <w:t>What is the cost of the Medical Insurance?</w:t>
      </w:r>
      <w:bookmarkEnd w:id="5"/>
    </w:p>
    <w:p w14:paraId="748C0B11" w14:textId="77777777" w:rsidR="001A7BFA" w:rsidRPr="001A7BFA" w:rsidRDefault="001A7BFA" w:rsidP="001A7BFA">
      <w:pPr>
        <w:ind w:left="360"/>
      </w:pPr>
      <w:r w:rsidRPr="001A7BFA">
        <w:rPr>
          <w:b/>
          <w:bCs/>
          <w:u w:val="single"/>
        </w:rPr>
        <w:t>Employee's Monthly Cost - Kaiser Medical Plan 3 Bronze Plan (high deductible)</w:t>
      </w:r>
    </w:p>
    <w:p w14:paraId="3B919100" w14:textId="28A07546" w:rsidR="001A7BFA" w:rsidRPr="001A7BFA" w:rsidRDefault="001A7BFA" w:rsidP="001A7BFA">
      <w:pPr>
        <w:numPr>
          <w:ilvl w:val="0"/>
          <w:numId w:val="39"/>
        </w:numPr>
        <w:tabs>
          <w:tab w:val="clear" w:pos="720"/>
          <w:tab w:val="num" w:pos="1080"/>
        </w:tabs>
        <w:ind w:left="1080"/>
      </w:pPr>
      <w:r w:rsidRPr="001A7BFA">
        <w:rPr>
          <w:b/>
          <w:bCs/>
        </w:rPr>
        <w:t>Employee Only Coverage</w:t>
      </w:r>
      <w:r w:rsidRPr="001A7BFA">
        <w:t>:  $10</w:t>
      </w:r>
      <w:r w:rsidR="0060588D">
        <w:t>1.93</w:t>
      </w:r>
    </w:p>
    <w:p w14:paraId="5A74705C" w14:textId="325A34BA" w:rsidR="001A7BFA" w:rsidRPr="001A7BFA" w:rsidRDefault="001A7BFA" w:rsidP="001A7BFA">
      <w:pPr>
        <w:numPr>
          <w:ilvl w:val="0"/>
          <w:numId w:val="39"/>
        </w:numPr>
        <w:tabs>
          <w:tab w:val="clear" w:pos="720"/>
          <w:tab w:val="num" w:pos="1080"/>
        </w:tabs>
        <w:ind w:left="1080"/>
      </w:pPr>
      <w:r w:rsidRPr="001A7BFA">
        <w:rPr>
          <w:b/>
          <w:bCs/>
        </w:rPr>
        <w:t>Employee + Child(ren)</w:t>
      </w:r>
      <w:r w:rsidRPr="001A7BFA">
        <w:t>:  $3</w:t>
      </w:r>
      <w:r w:rsidR="0060588D">
        <w:t>63.59</w:t>
      </w:r>
    </w:p>
    <w:p w14:paraId="40075E93" w14:textId="77777777" w:rsidR="00D53087" w:rsidRDefault="00D53087" w:rsidP="004A23F2"/>
    <w:p w14:paraId="75C40F7B" w14:textId="77777777" w:rsidR="009E263D" w:rsidRPr="009E263D" w:rsidRDefault="009E263D" w:rsidP="001A7BFA">
      <w:pPr>
        <w:pStyle w:val="Heading2"/>
      </w:pPr>
      <w:bookmarkStart w:id="6" w:name="_Toc112415796"/>
      <w:r>
        <w:t>Eligible Dependents</w:t>
      </w:r>
      <w:bookmarkEnd w:id="6"/>
    </w:p>
    <w:p w14:paraId="7D92D8F7" w14:textId="77777777" w:rsidR="009E263D" w:rsidRPr="009E263D" w:rsidRDefault="009E263D" w:rsidP="009E263D">
      <w:pPr>
        <w:numPr>
          <w:ilvl w:val="0"/>
          <w:numId w:val="28"/>
        </w:numPr>
      </w:pPr>
      <w:r w:rsidRPr="009E263D">
        <w:rPr>
          <w:b/>
          <w:bCs/>
        </w:rPr>
        <w:t>Child(ren) Up to Age 26</w:t>
      </w:r>
    </w:p>
    <w:p w14:paraId="059A8288" w14:textId="77777777" w:rsidR="009E263D" w:rsidRPr="009E263D" w:rsidRDefault="009E263D" w:rsidP="009E263D">
      <w:pPr>
        <w:numPr>
          <w:ilvl w:val="1"/>
          <w:numId w:val="28"/>
        </w:numPr>
      </w:pPr>
      <w:r w:rsidRPr="009E263D">
        <w:t>Biological child, legally adopted or legally placed for adoption</w:t>
      </w:r>
    </w:p>
    <w:p w14:paraId="138E4631" w14:textId="77777777" w:rsidR="009E263D" w:rsidRPr="009E263D" w:rsidRDefault="009E263D" w:rsidP="009E263D">
      <w:pPr>
        <w:numPr>
          <w:ilvl w:val="1"/>
          <w:numId w:val="28"/>
        </w:numPr>
      </w:pPr>
      <w:r w:rsidRPr="009E263D">
        <w:t>Legally placed</w:t>
      </w:r>
    </w:p>
    <w:p w14:paraId="542794C6" w14:textId="77777777" w:rsidR="009E263D" w:rsidRPr="009E263D" w:rsidRDefault="009E263D" w:rsidP="003D7AE1">
      <w:pPr>
        <w:numPr>
          <w:ilvl w:val="1"/>
          <w:numId w:val="28"/>
        </w:numPr>
      </w:pPr>
      <w:r w:rsidRPr="009E263D">
        <w:t>Step-child</w:t>
      </w:r>
    </w:p>
    <w:p w14:paraId="0D835B01" w14:textId="77777777" w:rsidR="009E263D" w:rsidRPr="009E263D" w:rsidRDefault="009E263D" w:rsidP="009E263D">
      <w:r>
        <w:rPr>
          <w:b/>
          <w:bCs/>
        </w:rPr>
        <w:br/>
      </w:r>
      <w:r w:rsidR="003D7AE1" w:rsidRPr="003D7AE1">
        <w:rPr>
          <w:b/>
          <w:bCs/>
        </w:rPr>
        <w:t>Coverage is NOT available to a legally married spouse or Domestic Partner.</w:t>
      </w:r>
    </w:p>
    <w:p w14:paraId="0346FE7F" w14:textId="77777777" w:rsidR="001514E7" w:rsidRPr="001514E7" w:rsidRDefault="009E263D" w:rsidP="001514E7">
      <w:r w:rsidRPr="009E263D">
        <w:lastRenderedPageBreak/>
        <w:br/>
        <w:t>The Affordable Care Act (ACA) requires the District to collect social security numbers for all dependents enrolled in the employee’s medical plan. The social security numbers are used as identifiers in reporting health insurance coverage to the IRS. Dependents for which social security numbers are not provided may not be enrolled.</w:t>
      </w:r>
    </w:p>
    <w:p w14:paraId="559E0C67" w14:textId="77777777" w:rsidR="00110E28" w:rsidRDefault="00110E28">
      <w:pPr>
        <w:rPr>
          <w:rFonts w:ascii="Cambria" w:eastAsiaTheme="majorEastAsia" w:hAnsi="Cambria" w:cstheme="majorBidi"/>
          <w:b/>
          <w:smallCaps/>
          <w:color w:val="2F5496" w:themeColor="accent1" w:themeShade="BF"/>
          <w:sz w:val="26"/>
          <w:szCs w:val="26"/>
        </w:rPr>
      </w:pPr>
    </w:p>
    <w:p w14:paraId="2B4EA317" w14:textId="77777777" w:rsidR="00A11DB3" w:rsidRDefault="00A11DB3" w:rsidP="002B7C7D">
      <w:pPr>
        <w:pStyle w:val="Heading2"/>
      </w:pPr>
      <w:bookmarkStart w:id="7" w:name="_Toc112415797"/>
      <w:r>
        <w:t xml:space="preserve">Benefits </w:t>
      </w:r>
      <w:r w:rsidR="008E0169">
        <w:t>E</w:t>
      </w:r>
      <w:r>
        <w:t xml:space="preserve">nrollment &amp; </w:t>
      </w:r>
      <w:r w:rsidR="008E0169">
        <w:t>C</w:t>
      </w:r>
      <w:r>
        <w:t>hanges</w:t>
      </w:r>
      <w:bookmarkEnd w:id="7"/>
    </w:p>
    <w:p w14:paraId="02D36168" w14:textId="77777777" w:rsidR="00BD5D10" w:rsidRPr="002B7C7D" w:rsidRDefault="00BD5D10" w:rsidP="00BD5D10">
      <w:pPr>
        <w:spacing w:after="120"/>
        <w:rPr>
          <w:b/>
          <w:sz w:val="22"/>
        </w:rPr>
      </w:pPr>
      <w:r w:rsidRPr="002B7C7D">
        <w:rPr>
          <w:b/>
          <w:sz w:val="22"/>
        </w:rPr>
        <w:t>There are only three times when you can enroll in benefits or possibly make changes to your benefits:</w:t>
      </w:r>
    </w:p>
    <w:p w14:paraId="024C812A" w14:textId="77777777" w:rsidR="00BD5D10" w:rsidRDefault="003D7AE1" w:rsidP="00BD5D10">
      <w:pPr>
        <w:pStyle w:val="ListParagraph"/>
        <w:numPr>
          <w:ilvl w:val="0"/>
          <w:numId w:val="4"/>
        </w:numPr>
        <w:spacing w:after="120"/>
        <w:contextualSpacing w:val="0"/>
      </w:pPr>
      <w:r>
        <w:t>When first offered benefits after meeting the benefits eligibility requirement(s) outlined above.</w:t>
      </w:r>
    </w:p>
    <w:p w14:paraId="4C03EC72" w14:textId="77777777" w:rsidR="00BD5D10" w:rsidRDefault="00BD5D10" w:rsidP="00BD5D10">
      <w:pPr>
        <w:pStyle w:val="ListParagraph"/>
        <w:numPr>
          <w:ilvl w:val="0"/>
          <w:numId w:val="4"/>
        </w:numPr>
        <w:spacing w:after="120"/>
        <w:contextualSpacing w:val="0"/>
      </w:pPr>
      <w:r w:rsidRPr="00BD5D10">
        <w:rPr>
          <w:b/>
          <w:u w:val="single"/>
        </w:rPr>
        <w:t>Within 31-calendar days</w:t>
      </w:r>
      <w:r>
        <w:t>* of a qualifying event.</w:t>
      </w:r>
    </w:p>
    <w:p w14:paraId="4D92A720" w14:textId="77777777" w:rsidR="00BD5D10" w:rsidRDefault="00BD5D10" w:rsidP="00BD5D10">
      <w:pPr>
        <w:pStyle w:val="ListParagraph"/>
        <w:numPr>
          <w:ilvl w:val="0"/>
          <w:numId w:val="4"/>
        </w:numPr>
        <w:spacing w:after="120"/>
        <w:contextualSpacing w:val="0"/>
      </w:pPr>
      <w:r>
        <w:t>During Annual Open Enrollment</w:t>
      </w:r>
      <w:r w:rsidR="003D7AE1">
        <w:t>.</w:t>
      </w:r>
    </w:p>
    <w:p w14:paraId="0E226765" w14:textId="77777777" w:rsidR="001514E7" w:rsidRDefault="008E0169" w:rsidP="001514E7">
      <w:r>
        <w:t xml:space="preserve">For more information, visit our </w:t>
      </w:r>
      <w:r>
        <w:rPr>
          <w:rStyle w:val="Strong"/>
        </w:rPr>
        <w:t>Benefits Enrollment &amp; Changes</w:t>
      </w:r>
      <w:r>
        <w:t xml:space="preserve">: </w:t>
      </w:r>
      <w:hyperlink r:id="rId17" w:history="1">
        <w:r>
          <w:rPr>
            <w:rStyle w:val="Hyperlink"/>
          </w:rPr>
          <w:t>https://www.pps.net/Page/7324</w:t>
        </w:r>
      </w:hyperlink>
      <w:r>
        <w:t>.</w:t>
      </w:r>
    </w:p>
    <w:p w14:paraId="58E54F54" w14:textId="77777777" w:rsidR="008E0169" w:rsidRDefault="008E0169" w:rsidP="001514E7"/>
    <w:p w14:paraId="702127D9" w14:textId="77777777" w:rsidR="008E0169" w:rsidRPr="008E0169" w:rsidRDefault="008E0169" w:rsidP="006E5769">
      <w:pPr>
        <w:rPr>
          <w:sz w:val="18"/>
        </w:rPr>
      </w:pPr>
      <w:r w:rsidRPr="00DB749B">
        <w:rPr>
          <w:sz w:val="16"/>
        </w:rPr>
        <w:t>*Unless otherwise indicated.</w:t>
      </w:r>
    </w:p>
    <w:p w14:paraId="4302A3F9" w14:textId="77777777" w:rsidR="008E0169" w:rsidRPr="001514E7" w:rsidRDefault="008E0169" w:rsidP="001514E7"/>
    <w:p w14:paraId="57594FE9" w14:textId="77777777" w:rsidR="00A11DB3" w:rsidRDefault="00A11DB3" w:rsidP="002B7C7D">
      <w:pPr>
        <w:pStyle w:val="Heading2"/>
      </w:pPr>
      <w:bookmarkStart w:id="8" w:name="_Toc112415798"/>
      <w:r>
        <w:t xml:space="preserve">How </w:t>
      </w:r>
      <w:r w:rsidR="000036D8">
        <w:t>D</w:t>
      </w:r>
      <w:r>
        <w:t xml:space="preserve">o I </w:t>
      </w:r>
      <w:r w:rsidR="000036D8">
        <w:t>M</w:t>
      </w:r>
      <w:r>
        <w:t xml:space="preserve">ake </w:t>
      </w:r>
      <w:r w:rsidR="000036D8">
        <w:t>C</w:t>
      </w:r>
      <w:r>
        <w:t xml:space="preserve">hanges to </w:t>
      </w:r>
      <w:r w:rsidR="000036D8">
        <w:t>M</w:t>
      </w:r>
      <w:r>
        <w:t xml:space="preserve">y </w:t>
      </w:r>
      <w:r w:rsidR="000036D8">
        <w:t>B</w:t>
      </w:r>
      <w:r>
        <w:t>enefits?</w:t>
      </w:r>
      <w:bookmarkEnd w:id="8"/>
    </w:p>
    <w:p w14:paraId="185B904A" w14:textId="77777777" w:rsidR="00336C02" w:rsidRDefault="00336C02" w:rsidP="00336C02">
      <w:r w:rsidRPr="00336C02">
        <w:t xml:space="preserve">IRS rules state that benefit selections may only be changed when an employee experiences a qualifying event </w:t>
      </w:r>
      <w:r w:rsidRPr="00336C02">
        <w:rPr>
          <w:b/>
          <w:u w:val="single"/>
        </w:rPr>
        <w:t>or</w:t>
      </w:r>
      <w:r w:rsidRPr="00336C02">
        <w:t xml:space="preserve"> during the Annual Open Enrollment period. The employee must complete an online enrollment via PeopleSoft Employee Self-Service (ESS) and upload the appropriate required documentation. The change must be consistent with the event.</w:t>
      </w:r>
    </w:p>
    <w:p w14:paraId="0BBB16EA" w14:textId="77777777" w:rsidR="000036D8" w:rsidRDefault="000036D8" w:rsidP="00336C02"/>
    <w:p w14:paraId="236AD30B" w14:textId="77777777" w:rsidR="000B6F4B" w:rsidRDefault="000B6F4B" w:rsidP="0014634C">
      <w:pPr>
        <w:pStyle w:val="Heading3"/>
      </w:pPr>
      <w:bookmarkStart w:id="9" w:name="_Toc110344081"/>
      <w:bookmarkStart w:id="10" w:name="_Toc110379715"/>
      <w:bookmarkStart w:id="11" w:name="_Toc110380058"/>
      <w:bookmarkStart w:id="12" w:name="_Toc110380981"/>
      <w:bookmarkStart w:id="13" w:name="_Toc110381412"/>
      <w:bookmarkStart w:id="14" w:name="_Toc112415799"/>
      <w:r>
        <w:t>Qualifying Events</w:t>
      </w:r>
      <w:bookmarkEnd w:id="9"/>
      <w:bookmarkEnd w:id="10"/>
      <w:bookmarkEnd w:id="11"/>
      <w:bookmarkEnd w:id="12"/>
      <w:bookmarkEnd w:id="13"/>
      <w:bookmarkEnd w:id="14"/>
    </w:p>
    <w:p w14:paraId="542F2423" w14:textId="77777777" w:rsidR="00240997" w:rsidRDefault="00336C02" w:rsidP="000036D8">
      <w:r w:rsidRPr="00336C02">
        <w:t xml:space="preserve">Employees who experience a qualifying event must complete their benefits changes </w:t>
      </w:r>
      <w:r w:rsidRPr="00336C02">
        <w:rPr>
          <w:b/>
          <w:bCs/>
          <w:u w:val="single"/>
        </w:rPr>
        <w:t>within 31-calendar days</w:t>
      </w:r>
      <w:r w:rsidRPr="00336C02">
        <w:t>* from the date of the qualifying event.</w:t>
      </w:r>
    </w:p>
    <w:p w14:paraId="2F8A3612" w14:textId="77777777" w:rsidR="000036D8" w:rsidRDefault="000036D8" w:rsidP="000036D8"/>
    <w:p w14:paraId="644924D5" w14:textId="77777777" w:rsidR="00336C02" w:rsidRPr="00336C02" w:rsidRDefault="00336C02" w:rsidP="000036D8">
      <w:pPr>
        <w:rPr>
          <w:sz w:val="24"/>
          <w:szCs w:val="24"/>
        </w:rPr>
      </w:pPr>
      <w:r w:rsidRPr="00DB749B">
        <w:rPr>
          <w:sz w:val="18"/>
          <w:szCs w:val="20"/>
        </w:rPr>
        <w:t>*Unless otherwise indicated</w:t>
      </w:r>
    </w:p>
    <w:p w14:paraId="6516E67A" w14:textId="77777777" w:rsidR="000036D8" w:rsidRDefault="000036D8" w:rsidP="000036D8">
      <w:pPr>
        <w:rPr>
          <w:szCs w:val="20"/>
        </w:rPr>
      </w:pPr>
    </w:p>
    <w:p w14:paraId="3A94D420" w14:textId="77777777" w:rsidR="000036D8" w:rsidRPr="00ED73DB" w:rsidRDefault="005142F6" w:rsidP="00ED73DB">
      <w:pPr>
        <w:rPr>
          <w:rStyle w:val="Strong"/>
          <w:b w:val="0"/>
          <w:bCs w:val="0"/>
          <w:szCs w:val="20"/>
        </w:rPr>
      </w:pPr>
      <w:r w:rsidRPr="005142F6">
        <w:rPr>
          <w:szCs w:val="20"/>
        </w:rPr>
        <w:t>For more information and instructions on making changes to your benefits due to a qualifying event, visit:</w:t>
      </w:r>
    </w:p>
    <w:p w14:paraId="7A9AA87D" w14:textId="77777777" w:rsidR="000036D8" w:rsidRPr="00ED73DB" w:rsidRDefault="00336C02" w:rsidP="00ED73DB">
      <w:pPr>
        <w:pStyle w:val="ListParagraph"/>
        <w:numPr>
          <w:ilvl w:val="0"/>
          <w:numId w:val="21"/>
        </w:numPr>
        <w:contextualSpacing w:val="0"/>
        <w:rPr>
          <w:szCs w:val="20"/>
        </w:rPr>
      </w:pPr>
      <w:r w:rsidRPr="005142F6">
        <w:rPr>
          <w:rStyle w:val="Strong"/>
          <w:szCs w:val="20"/>
        </w:rPr>
        <w:t xml:space="preserve">Benefits Enrollment &amp; Changes </w:t>
      </w:r>
      <w:r w:rsidR="000036D8">
        <w:rPr>
          <w:rStyle w:val="Strong"/>
          <w:szCs w:val="20"/>
        </w:rPr>
        <w:t>w</w:t>
      </w:r>
      <w:r w:rsidRPr="005142F6">
        <w:rPr>
          <w:rStyle w:val="Strong"/>
          <w:szCs w:val="20"/>
        </w:rPr>
        <w:t>ebpage</w:t>
      </w:r>
      <w:r w:rsidRPr="005142F6">
        <w:rPr>
          <w:szCs w:val="20"/>
        </w:rPr>
        <w:t xml:space="preserve">: </w:t>
      </w:r>
      <w:hyperlink r:id="rId18" w:history="1">
        <w:r w:rsidRPr="005142F6">
          <w:rPr>
            <w:rStyle w:val="Hyperlink"/>
            <w:szCs w:val="20"/>
          </w:rPr>
          <w:t>https://www.pps.net/Page/7324</w:t>
        </w:r>
      </w:hyperlink>
      <w:r w:rsidRPr="005142F6">
        <w:rPr>
          <w:szCs w:val="20"/>
        </w:rPr>
        <w:t xml:space="preserve"> </w:t>
      </w:r>
    </w:p>
    <w:p w14:paraId="1A3EAD96" w14:textId="77777777" w:rsidR="000036D8" w:rsidRDefault="005142F6" w:rsidP="000036D8">
      <w:pPr>
        <w:pStyle w:val="ListParagraph"/>
        <w:numPr>
          <w:ilvl w:val="0"/>
          <w:numId w:val="21"/>
        </w:numPr>
        <w:contextualSpacing w:val="0"/>
        <w:rPr>
          <w:szCs w:val="20"/>
        </w:rPr>
      </w:pPr>
      <w:r w:rsidRPr="005142F6">
        <w:rPr>
          <w:rStyle w:val="Strong"/>
          <w:szCs w:val="20"/>
        </w:rPr>
        <w:t xml:space="preserve">Qualifying Events for Benefits Enrollment &amp; Changes </w:t>
      </w:r>
      <w:r w:rsidR="000036D8">
        <w:rPr>
          <w:rStyle w:val="Strong"/>
          <w:szCs w:val="20"/>
        </w:rPr>
        <w:t>w</w:t>
      </w:r>
      <w:r w:rsidRPr="005142F6">
        <w:rPr>
          <w:rStyle w:val="Strong"/>
          <w:szCs w:val="20"/>
        </w:rPr>
        <w:t>ebpage:</w:t>
      </w:r>
      <w:r w:rsidRPr="005142F6">
        <w:rPr>
          <w:szCs w:val="20"/>
        </w:rPr>
        <w:t xml:space="preserve"> </w:t>
      </w:r>
      <w:hyperlink r:id="rId19" w:history="1">
        <w:r w:rsidRPr="005142F6">
          <w:rPr>
            <w:rStyle w:val="Hyperlink"/>
            <w:szCs w:val="20"/>
          </w:rPr>
          <w:t>https://www.pps.net/Page/18906</w:t>
        </w:r>
      </w:hyperlink>
      <w:r w:rsidRPr="005142F6">
        <w:rPr>
          <w:szCs w:val="20"/>
        </w:rPr>
        <w:t xml:space="preserve"> </w:t>
      </w:r>
    </w:p>
    <w:p w14:paraId="719615CD" w14:textId="77777777" w:rsidR="000036D8" w:rsidRPr="000036D8" w:rsidRDefault="000036D8" w:rsidP="000036D8">
      <w:pPr>
        <w:ind w:left="360"/>
        <w:rPr>
          <w:szCs w:val="20"/>
        </w:rPr>
      </w:pPr>
    </w:p>
    <w:p w14:paraId="25CF5029" w14:textId="77777777" w:rsidR="000B6F4B" w:rsidRDefault="000B6F4B" w:rsidP="0014634C">
      <w:pPr>
        <w:pStyle w:val="Heading3"/>
      </w:pPr>
      <w:bookmarkStart w:id="15" w:name="_Toc110344082"/>
      <w:bookmarkStart w:id="16" w:name="_Toc110379716"/>
      <w:bookmarkStart w:id="17" w:name="_Toc110380059"/>
      <w:bookmarkStart w:id="18" w:name="_Toc110380982"/>
      <w:bookmarkStart w:id="19" w:name="_Toc110381413"/>
      <w:bookmarkStart w:id="20" w:name="_Toc112415800"/>
      <w:r>
        <w:t>Annual Open Enrollment Period</w:t>
      </w:r>
      <w:bookmarkEnd w:id="15"/>
      <w:bookmarkEnd w:id="16"/>
      <w:bookmarkEnd w:id="17"/>
      <w:bookmarkEnd w:id="18"/>
      <w:bookmarkEnd w:id="19"/>
      <w:bookmarkEnd w:id="20"/>
    </w:p>
    <w:p w14:paraId="1D4303F2" w14:textId="77777777" w:rsidR="0047405E" w:rsidRDefault="00DB749B" w:rsidP="006E5769">
      <w:r w:rsidRPr="00DB749B">
        <w:t>This is the time to add or remove dependents or change medical plans</w:t>
      </w:r>
      <w:r w:rsidR="0047405E">
        <w:t>.</w:t>
      </w:r>
    </w:p>
    <w:p w14:paraId="2EFB2698" w14:textId="77777777" w:rsidR="00110E28" w:rsidRDefault="00110E28">
      <w:pPr>
        <w:rPr>
          <w:rFonts w:ascii="Cambria" w:eastAsiaTheme="majorEastAsia" w:hAnsi="Cambria" w:cstheme="majorBidi"/>
          <w:b/>
          <w:smallCaps/>
          <w:color w:val="2F5496" w:themeColor="accent1" w:themeShade="BF"/>
          <w:sz w:val="26"/>
          <w:szCs w:val="26"/>
        </w:rPr>
      </w:pPr>
    </w:p>
    <w:p w14:paraId="74045A3A" w14:textId="77777777" w:rsidR="004F2B87" w:rsidRDefault="004F2B87" w:rsidP="002B7C7D">
      <w:pPr>
        <w:pStyle w:val="Heading2"/>
      </w:pPr>
      <w:bookmarkStart w:id="21" w:name="_Toc112415801"/>
      <w:r>
        <w:t>Insurance ID cards</w:t>
      </w:r>
      <w:bookmarkEnd w:id="21"/>
    </w:p>
    <w:p w14:paraId="66064812" w14:textId="77777777" w:rsidR="004F2B87" w:rsidRDefault="004F2B87" w:rsidP="004F2B87">
      <w:r>
        <w:t xml:space="preserve">Insurance identification (ID) cards are issued directly from the insurance carriers. Processing time usually takes </w:t>
      </w:r>
      <w:r w:rsidR="006E5769">
        <w:t>3-5</w:t>
      </w:r>
      <w:r>
        <w:t xml:space="preserve"> </w:t>
      </w:r>
      <w:r w:rsidR="006E5769">
        <w:t xml:space="preserve">weeks </w:t>
      </w:r>
      <w:r w:rsidR="006E5769" w:rsidRPr="006E5769">
        <w:rPr>
          <w:b/>
          <w:u w:val="single"/>
        </w:rPr>
        <w:t>after</w:t>
      </w:r>
      <w:r w:rsidR="006E5769">
        <w:t xml:space="preserve"> </w:t>
      </w:r>
      <w:r w:rsidR="006E5769" w:rsidRPr="006E5769">
        <w:t>submitting your online benefits enrollment.</w:t>
      </w:r>
    </w:p>
    <w:p w14:paraId="1A07D50D" w14:textId="77777777" w:rsidR="006E5769" w:rsidRDefault="006E5769" w:rsidP="004F2B87"/>
    <w:p w14:paraId="39850686" w14:textId="77777777" w:rsidR="00110E28" w:rsidRDefault="006E5769">
      <w:r>
        <w:t xml:space="preserve">If you or a covered dependent need medical attention prior to receipt of your insurance ID cards, please call your medical insurance carrier directly. If the carrier is not showing coverage, contact </w:t>
      </w:r>
      <w:r w:rsidRPr="006E5769">
        <w:rPr>
          <w:b/>
        </w:rPr>
        <w:t>OEBB</w:t>
      </w:r>
      <w:r>
        <w:t xml:space="preserve"> (plan administrator) for assistance at 888-469-6322.</w:t>
      </w:r>
    </w:p>
    <w:p w14:paraId="3F58225D" w14:textId="77777777" w:rsidR="0047405E" w:rsidRPr="0047405E" w:rsidRDefault="0047405E"/>
    <w:p w14:paraId="332B21E7" w14:textId="77777777" w:rsidR="004F03A5" w:rsidRPr="004F03A5" w:rsidRDefault="007446A8" w:rsidP="004F03A5">
      <w:r>
        <w:pict w14:anchorId="099B6565">
          <v:rect id="_x0000_i1028" style="width:0;height:1.5pt" o:hralign="center" o:hrstd="t" o:hr="t" fillcolor="#a0a0a0" stroked="f"/>
        </w:pict>
      </w:r>
    </w:p>
    <w:p w14:paraId="18C065C6" w14:textId="77777777" w:rsidR="00A11DB3" w:rsidRDefault="00A11DB3" w:rsidP="002B7C7D">
      <w:pPr>
        <w:pStyle w:val="Heading1"/>
      </w:pPr>
      <w:bookmarkStart w:id="22" w:name="_Toc112415802"/>
      <w:r>
        <w:t>Retirement Benefits</w:t>
      </w:r>
      <w:bookmarkEnd w:id="22"/>
    </w:p>
    <w:p w14:paraId="280D2204" w14:textId="77777777" w:rsidR="00A11DB3" w:rsidRDefault="00435D46" w:rsidP="002B7C7D">
      <w:pPr>
        <w:pStyle w:val="Heading2"/>
      </w:pPr>
      <w:bookmarkStart w:id="23" w:name="_Toc112415803"/>
      <w:r>
        <w:t xml:space="preserve">OPSRP - </w:t>
      </w:r>
      <w:r w:rsidR="00D74F15">
        <w:t>O</w:t>
      </w:r>
      <w:r>
        <w:t xml:space="preserve">regon </w:t>
      </w:r>
      <w:r w:rsidR="00D74F15">
        <w:t>P</w:t>
      </w:r>
      <w:r>
        <w:t>ublic Services Retirement Plan</w:t>
      </w:r>
      <w:r w:rsidR="001C0E84">
        <w:t xml:space="preserve"> (required if eligible)</w:t>
      </w:r>
      <w:bookmarkEnd w:id="23"/>
    </w:p>
    <w:p w14:paraId="1ADEB910" w14:textId="77777777" w:rsidR="00D74F15" w:rsidRDefault="00D74F15" w:rsidP="00D74F15">
      <w:r>
        <w:t xml:space="preserve">The </w:t>
      </w:r>
      <w:r w:rsidRPr="00D74F15">
        <w:rPr>
          <w:b/>
        </w:rPr>
        <w:t>Oregon Public Employees Retirement System (PERS)</w:t>
      </w:r>
      <w:r>
        <w:t xml:space="preserve"> is the state retirement plan for employees who work at least 600 hours per year and is mandated by law.  Employees hired on or after 08/29/2003 are </w:t>
      </w:r>
      <w:r w:rsidRPr="00D74F15">
        <w:rPr>
          <w:b/>
        </w:rPr>
        <w:t>PERS OPSRP members</w:t>
      </w:r>
      <w:r>
        <w:t xml:space="preserve"> unless membership was previously established by PERS.</w:t>
      </w:r>
    </w:p>
    <w:p w14:paraId="6D6E6AD5" w14:textId="77777777" w:rsidR="00D74F15" w:rsidRDefault="00D74F15" w:rsidP="00D74F15"/>
    <w:p w14:paraId="40056D48" w14:textId="77777777" w:rsidR="00D74F15" w:rsidRDefault="00D74F15" w:rsidP="00D74F15">
      <w:r>
        <w:lastRenderedPageBreak/>
        <w:t xml:space="preserve">PERS OPSRP membership is established after completion of a six (6) month waiting period for employees who work at least 600 hours per year, and requires an employee contribution of 6% of gross salary on a pre-tax basis to the </w:t>
      </w:r>
      <w:r w:rsidRPr="00D74F15">
        <w:rPr>
          <w:b/>
        </w:rPr>
        <w:t>Individual Account Program (IAP)</w:t>
      </w:r>
      <w:r>
        <w:t xml:space="preserve">.  If you are an existing PERS member, your mandatory contributions begin immediately.  This contribution is not subject to Federal and State taxes until it is withdrawn from the retirement system.  Additionally, the District contributes an amount to the </w:t>
      </w:r>
      <w:r w:rsidRPr="00D74F15">
        <w:rPr>
          <w:b/>
        </w:rPr>
        <w:t>OPSRP Pension Program</w:t>
      </w:r>
      <w:r>
        <w:t xml:space="preserve"> for each covered employee. Vesting usually occurs after five (5) years of working at least 600 hours per year. Members automatically vest at age 65, even if they have worked fewer than five years.</w:t>
      </w:r>
    </w:p>
    <w:p w14:paraId="2B3E3F65" w14:textId="77777777" w:rsidR="00D74F15" w:rsidRDefault="00D74F15" w:rsidP="00D74F15"/>
    <w:p w14:paraId="0E12D02C" w14:textId="77777777" w:rsidR="00D74F15" w:rsidRDefault="00D74F15" w:rsidP="00D74F15">
      <w:r>
        <w:t xml:space="preserve">For more information, visit our </w:t>
      </w:r>
      <w:r w:rsidRPr="00D74F15">
        <w:rPr>
          <w:b/>
        </w:rPr>
        <w:t>Oregon Public Employees Retirement System (PERS) webpage</w:t>
      </w:r>
      <w:r>
        <w:t xml:space="preserve">: </w:t>
      </w:r>
      <w:hyperlink r:id="rId20" w:history="1">
        <w:r w:rsidRPr="00C60CB3">
          <w:rPr>
            <w:rStyle w:val="Hyperlink"/>
          </w:rPr>
          <w:t>https://www.pps.net/Page/18903</w:t>
        </w:r>
      </w:hyperlink>
      <w:r>
        <w:t xml:space="preserve">. </w:t>
      </w:r>
    </w:p>
    <w:p w14:paraId="02C8F098" w14:textId="77777777" w:rsidR="004F03A5" w:rsidRPr="004F03A5" w:rsidRDefault="004F03A5" w:rsidP="004F03A5"/>
    <w:p w14:paraId="71C2AB11" w14:textId="77777777" w:rsidR="00435D46" w:rsidRDefault="00435D46" w:rsidP="002B7C7D">
      <w:pPr>
        <w:pStyle w:val="Heading2"/>
      </w:pPr>
      <w:bookmarkStart w:id="24" w:name="_Toc112415804"/>
      <w:r>
        <w:t xml:space="preserve">403(b) </w:t>
      </w:r>
      <w:r w:rsidR="00D74F15">
        <w:t>P</w:t>
      </w:r>
      <w:r>
        <w:t xml:space="preserve">lan </w:t>
      </w:r>
      <w:r w:rsidR="00D74F15">
        <w:t>T</w:t>
      </w:r>
      <w:r>
        <w:t xml:space="preserve">ax </w:t>
      </w:r>
      <w:r w:rsidR="00D74F15">
        <w:t>D</w:t>
      </w:r>
      <w:r>
        <w:t xml:space="preserve">eferred </w:t>
      </w:r>
      <w:r w:rsidR="00D74F15">
        <w:t>A</w:t>
      </w:r>
      <w:r>
        <w:t>nnuity (voluntary)</w:t>
      </w:r>
      <w:bookmarkEnd w:id="24"/>
    </w:p>
    <w:p w14:paraId="54299FB1" w14:textId="77777777" w:rsidR="00D74F15" w:rsidRDefault="00D74F15" w:rsidP="00D74F15">
      <w:r>
        <w:t xml:space="preserve">The </w:t>
      </w:r>
      <w:r w:rsidRPr="00D74F15">
        <w:rPr>
          <w:b/>
        </w:rPr>
        <w:t>403(b) Plan</w:t>
      </w:r>
      <w:r>
        <w:t xml:space="preserve"> is a voluntary (optional) supplemental retirement savings program offered under section 403(b) of the Internal Revenue Code and is called the Tax-Sheltered Annuity Plan ("TSA Plan").  </w:t>
      </w:r>
    </w:p>
    <w:p w14:paraId="5BE02516" w14:textId="77777777" w:rsidR="00D74F15" w:rsidRDefault="00D74F15" w:rsidP="00D74F15"/>
    <w:p w14:paraId="40FBAA63" w14:textId="77777777" w:rsidR="00D74F15" w:rsidRDefault="00D74F15" w:rsidP="00D74F15">
      <w:r>
        <w:t xml:space="preserve">The PPS 403(b) Plan is administered by </w:t>
      </w:r>
      <w:r w:rsidRPr="00D74F15">
        <w:rPr>
          <w:b/>
        </w:rPr>
        <w:t>Carruth Compliance Consulting (CCC)</w:t>
      </w:r>
      <w:r>
        <w:t>.  PPS offers the following types of 403(b) Plans for eligible employees to contribute to:</w:t>
      </w:r>
    </w:p>
    <w:p w14:paraId="11C4794D" w14:textId="77777777" w:rsidR="00D74F15" w:rsidRDefault="00D74F15" w:rsidP="00D74F15">
      <w:pPr>
        <w:pStyle w:val="ListParagraph"/>
        <w:numPr>
          <w:ilvl w:val="0"/>
          <w:numId w:val="32"/>
        </w:numPr>
      </w:pPr>
      <w:r w:rsidRPr="00D74F15">
        <w:rPr>
          <w:b/>
        </w:rPr>
        <w:t>Traditional (pre-tax) 403(b) Plan</w:t>
      </w:r>
      <w:r>
        <w:t>; and</w:t>
      </w:r>
    </w:p>
    <w:p w14:paraId="396E3093" w14:textId="77777777" w:rsidR="00D74F15" w:rsidRDefault="00D74F15" w:rsidP="00D74F15">
      <w:pPr>
        <w:pStyle w:val="ListParagraph"/>
        <w:numPr>
          <w:ilvl w:val="0"/>
          <w:numId w:val="32"/>
        </w:numPr>
      </w:pPr>
      <w:r w:rsidRPr="00D74F15">
        <w:rPr>
          <w:b/>
        </w:rPr>
        <w:t>Roth (after-tax) 403(b) Plan</w:t>
      </w:r>
      <w:r>
        <w:t>, subject to vendor acceptance of such contributions.</w:t>
      </w:r>
    </w:p>
    <w:p w14:paraId="534A5AAE" w14:textId="77777777" w:rsidR="00D74F15" w:rsidRDefault="00D74F15" w:rsidP="00D74F15"/>
    <w:p w14:paraId="6685B8E6" w14:textId="77777777" w:rsidR="00D74F15" w:rsidRDefault="00D74F15" w:rsidP="00D74F15">
      <w:r>
        <w:t xml:space="preserve">All contributions to the PPS 403(b) Plan are made by the employee.  The District </w:t>
      </w:r>
      <w:r w:rsidRPr="00D74F15">
        <w:rPr>
          <w:u w:val="single"/>
        </w:rPr>
        <w:t>does not</w:t>
      </w:r>
      <w:r>
        <w:t xml:space="preserve"> contribute toward the 403(b) Plan and there is </w:t>
      </w:r>
      <w:r w:rsidRPr="00D74F15">
        <w:rPr>
          <w:u w:val="single"/>
        </w:rPr>
        <w:t>no</w:t>
      </w:r>
      <w:r>
        <w:t xml:space="preserve"> Employer Match.</w:t>
      </w:r>
    </w:p>
    <w:p w14:paraId="33133AC7" w14:textId="77777777" w:rsidR="00D74F15" w:rsidRDefault="00D74F15" w:rsidP="00D74F15"/>
    <w:p w14:paraId="03C2BB5D" w14:textId="77777777" w:rsidR="00D74F15" w:rsidRDefault="00D74F15" w:rsidP="00D74F15">
      <w:r>
        <w:t xml:space="preserve">For more information, including how to enroll, visit our </w:t>
      </w:r>
      <w:r w:rsidRPr="00D74F15">
        <w:rPr>
          <w:b/>
        </w:rPr>
        <w:t>403(b) Plan Tax Deferred Annuity webpage</w:t>
      </w:r>
      <w:r>
        <w:t xml:space="preserve">: </w:t>
      </w:r>
      <w:hyperlink r:id="rId21" w:history="1">
        <w:r w:rsidRPr="00C60CB3">
          <w:rPr>
            <w:rStyle w:val="Hyperlink"/>
          </w:rPr>
          <w:t>https://www.pps.net/Page/18904</w:t>
        </w:r>
      </w:hyperlink>
      <w:r>
        <w:t xml:space="preserve">. </w:t>
      </w:r>
    </w:p>
    <w:p w14:paraId="609A94CF" w14:textId="77777777" w:rsidR="004F03A5" w:rsidRPr="004F03A5" w:rsidRDefault="007446A8" w:rsidP="004F03A5">
      <w:r>
        <w:pict w14:anchorId="298D7DBA">
          <v:rect id="_x0000_i1029" style="width:0;height:1.5pt" o:hralign="center" o:hrstd="t" o:hr="t" fillcolor="#a0a0a0" stroked="f"/>
        </w:pict>
      </w:r>
    </w:p>
    <w:p w14:paraId="254BA19E" w14:textId="77777777" w:rsidR="00A11DB3" w:rsidRDefault="00A11DB3" w:rsidP="002B7C7D">
      <w:pPr>
        <w:pStyle w:val="Heading1"/>
      </w:pPr>
      <w:bookmarkStart w:id="25" w:name="_Toc112415805"/>
      <w:r>
        <w:t>What Leave Plans Are Available to Me?</w:t>
      </w:r>
      <w:bookmarkEnd w:id="25"/>
    </w:p>
    <w:p w14:paraId="6183EAC3" w14:textId="77777777" w:rsidR="00A11DB3" w:rsidRDefault="00435D46" w:rsidP="002B7C7D">
      <w:pPr>
        <w:pStyle w:val="Heading2"/>
      </w:pPr>
      <w:bookmarkStart w:id="26" w:name="_Toc112415806"/>
      <w:r>
        <w:t>Sick Leave</w:t>
      </w:r>
      <w:bookmarkEnd w:id="26"/>
    </w:p>
    <w:p w14:paraId="1CD215CE" w14:textId="77777777" w:rsidR="00F96116" w:rsidRDefault="0047405E" w:rsidP="004F03A5">
      <w:r w:rsidRPr="0047405E">
        <w:t>Temporary full-time and variable hour employees accrue one (1) hour of sick leave per 30 hours worked. This information appears on your pay stub.</w:t>
      </w:r>
    </w:p>
    <w:p w14:paraId="429B46F1" w14:textId="77777777" w:rsidR="0047405E" w:rsidRPr="004F03A5" w:rsidRDefault="0047405E" w:rsidP="004F03A5"/>
    <w:p w14:paraId="59FD73DA" w14:textId="77777777" w:rsidR="00435D46" w:rsidRDefault="00435D46" w:rsidP="002B7C7D">
      <w:pPr>
        <w:pStyle w:val="Heading2"/>
      </w:pPr>
      <w:bookmarkStart w:id="27" w:name="_Toc112415807"/>
      <w:r>
        <w:t>Holidays</w:t>
      </w:r>
      <w:bookmarkEnd w:id="27"/>
    </w:p>
    <w:p w14:paraId="6B52460A" w14:textId="77777777" w:rsidR="0083088C" w:rsidRDefault="0047405E" w:rsidP="00A11DB3">
      <w:r w:rsidRPr="0047405E">
        <w:t xml:space="preserve">You may be eligible for holiday pay based on your work calendar and work schedule. Work with your time </w:t>
      </w:r>
      <w:proofErr w:type="spellStart"/>
      <w:r w:rsidRPr="0047405E">
        <w:t>keyer</w:t>
      </w:r>
      <w:proofErr w:type="spellEnd"/>
      <w:r w:rsidRPr="0047405E">
        <w:t xml:space="preserve"> to ensure holiday pay is appropriately time coded.</w:t>
      </w:r>
    </w:p>
    <w:p w14:paraId="4E55D149" w14:textId="77777777" w:rsidR="00A11DB3" w:rsidRDefault="00A11DB3" w:rsidP="00A11DB3"/>
    <w:p w14:paraId="4D4ACDD6" w14:textId="77777777" w:rsidR="0047405E" w:rsidRDefault="0047405E" w:rsidP="00A11DB3"/>
    <w:p w14:paraId="49C76F4C" w14:textId="77777777" w:rsidR="0047405E" w:rsidRDefault="0047405E" w:rsidP="00A11DB3"/>
    <w:p w14:paraId="03058750" w14:textId="77777777" w:rsidR="0047405E" w:rsidRDefault="0047405E" w:rsidP="00A11DB3"/>
    <w:p w14:paraId="0624AD3B" w14:textId="77777777" w:rsidR="0047405E" w:rsidRDefault="0047405E" w:rsidP="00A11DB3"/>
    <w:p w14:paraId="48166782" w14:textId="77777777" w:rsidR="0047405E" w:rsidRDefault="0047405E" w:rsidP="00A11DB3"/>
    <w:p w14:paraId="1E8DC41B" w14:textId="77777777" w:rsidR="0047405E" w:rsidRDefault="0047405E" w:rsidP="00A11DB3"/>
    <w:p w14:paraId="3FA8FADA" w14:textId="77777777" w:rsidR="0047405E" w:rsidRDefault="0047405E" w:rsidP="00A11DB3"/>
    <w:p w14:paraId="50AC5C21" w14:textId="77777777" w:rsidR="0047405E" w:rsidRDefault="0047405E" w:rsidP="00A11DB3"/>
    <w:p w14:paraId="7F573D25" w14:textId="77777777" w:rsidR="0047405E" w:rsidRDefault="0047405E" w:rsidP="00A11DB3"/>
    <w:p w14:paraId="50D1A881" w14:textId="77777777" w:rsidR="0047405E" w:rsidRDefault="0047405E" w:rsidP="00A11DB3"/>
    <w:p w14:paraId="163A44A4" w14:textId="77777777" w:rsidR="0047405E" w:rsidRDefault="0047405E" w:rsidP="00A11DB3"/>
    <w:p w14:paraId="54681102" w14:textId="77777777" w:rsidR="0047405E" w:rsidRDefault="0047405E" w:rsidP="00A11DB3"/>
    <w:p w14:paraId="376153DE" w14:textId="77777777" w:rsidR="0047405E" w:rsidRDefault="0047405E" w:rsidP="00A11DB3"/>
    <w:p w14:paraId="2BDB32D5" w14:textId="77777777" w:rsidR="0047405E" w:rsidRDefault="0047405E" w:rsidP="00A11DB3"/>
    <w:p w14:paraId="1339DE4A" w14:textId="77777777" w:rsidR="0047405E" w:rsidRDefault="0047405E" w:rsidP="00A11DB3"/>
    <w:p w14:paraId="2E11663F" w14:textId="77777777" w:rsidR="0047405E" w:rsidRDefault="0047405E" w:rsidP="00A11DB3"/>
    <w:p w14:paraId="6C8C3C8D" w14:textId="77777777" w:rsidR="0047405E" w:rsidRDefault="0047405E" w:rsidP="00A11DB3"/>
    <w:p w14:paraId="5AFBD9DE" w14:textId="77777777" w:rsidR="0047405E" w:rsidRDefault="0047405E" w:rsidP="00A11DB3"/>
    <w:p w14:paraId="0AE2022D" w14:textId="77777777" w:rsidR="0047405E" w:rsidRDefault="0047405E" w:rsidP="00A11DB3"/>
    <w:p w14:paraId="1B7A3ABD" w14:textId="77777777" w:rsidR="0047405E" w:rsidRDefault="0047405E" w:rsidP="00A11DB3"/>
    <w:p w14:paraId="3B2C1597" w14:textId="77777777" w:rsidR="00ED0CB1" w:rsidRPr="00A11DB3" w:rsidRDefault="00ED0CB1" w:rsidP="00ED0CB1">
      <w:pPr>
        <w:jc w:val="center"/>
      </w:pPr>
      <w:r>
        <w:rPr>
          <w:rStyle w:val="Emphasis"/>
        </w:rPr>
        <w:t xml:space="preserve">In the event that any statement in this summary varies from any benefit contract in effect, </w:t>
      </w:r>
      <w:r>
        <w:rPr>
          <w:rStyle w:val="Emphasis"/>
        </w:rPr>
        <w:br/>
        <w:t>the benefit contract shall prevail.</w:t>
      </w:r>
    </w:p>
    <w:sectPr w:rsidR="00ED0CB1" w:rsidRPr="00A11DB3" w:rsidSect="0014634C">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97FC" w14:textId="77777777" w:rsidR="00E35700" w:rsidRDefault="00E35700" w:rsidP="00A11DB3">
      <w:r>
        <w:separator/>
      </w:r>
    </w:p>
  </w:endnote>
  <w:endnote w:type="continuationSeparator" w:id="0">
    <w:p w14:paraId="2F55D3D0" w14:textId="77777777" w:rsidR="00E35700" w:rsidRDefault="00E35700" w:rsidP="00A1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D2CA" w14:textId="77777777" w:rsidR="0014341D" w:rsidRDefault="00143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569981"/>
      <w:docPartObj>
        <w:docPartGallery w:val="Page Numbers (Bottom of Page)"/>
        <w:docPartUnique/>
      </w:docPartObj>
    </w:sdtPr>
    <w:sdtEndPr>
      <w:rPr>
        <w:color w:val="7F7F7F" w:themeColor="background1" w:themeShade="7F"/>
        <w:spacing w:val="60"/>
        <w:sz w:val="18"/>
      </w:rPr>
    </w:sdtEndPr>
    <w:sdtContent>
      <w:p w14:paraId="7591CDA4" w14:textId="77777777" w:rsidR="00E35700" w:rsidRPr="00240997" w:rsidRDefault="00E35700" w:rsidP="00435D46">
        <w:pPr>
          <w:pStyle w:val="Footer"/>
          <w:pBdr>
            <w:top w:val="single" w:sz="4" w:space="1" w:color="D9D9D9" w:themeColor="background1" w:themeShade="D9"/>
          </w:pBdr>
          <w:jc w:val="right"/>
          <w:rPr>
            <w:sz w:val="18"/>
          </w:rPr>
        </w:pPr>
        <w:r w:rsidRPr="00240997">
          <w:rPr>
            <w:sz w:val="18"/>
          </w:rPr>
          <w:fldChar w:fldCharType="begin"/>
        </w:r>
        <w:r w:rsidRPr="00240997">
          <w:rPr>
            <w:sz w:val="18"/>
          </w:rPr>
          <w:instrText xml:space="preserve"> PAGE   \* MERGEFORMAT </w:instrText>
        </w:r>
        <w:r w:rsidRPr="00240997">
          <w:rPr>
            <w:sz w:val="18"/>
          </w:rPr>
          <w:fldChar w:fldCharType="separate"/>
        </w:r>
        <w:r w:rsidRPr="00240997">
          <w:rPr>
            <w:noProof/>
            <w:sz w:val="18"/>
          </w:rPr>
          <w:t>2</w:t>
        </w:r>
        <w:r w:rsidRPr="00240997">
          <w:rPr>
            <w:noProof/>
            <w:sz w:val="18"/>
          </w:rPr>
          <w:fldChar w:fldCharType="end"/>
        </w:r>
        <w:r w:rsidRPr="00240997">
          <w:rPr>
            <w:sz w:val="18"/>
          </w:rPr>
          <w:t xml:space="preserve"> | </w:t>
        </w:r>
        <w:r w:rsidRPr="00240997">
          <w:rPr>
            <w:color w:val="7F7F7F" w:themeColor="background1" w:themeShade="7F"/>
            <w:spacing w:val="60"/>
            <w:sz w:val="18"/>
          </w:rPr>
          <w:t>Page</w:t>
        </w:r>
      </w:p>
    </w:sdtContent>
  </w:sdt>
  <w:p w14:paraId="01C3B684" w14:textId="5D3B7E70" w:rsidR="0060588D" w:rsidRPr="0076632D" w:rsidRDefault="00E35700" w:rsidP="0082190C">
    <w:pPr>
      <w:spacing w:before="120"/>
      <w:rPr>
        <w:i/>
      </w:rPr>
    </w:pPr>
    <w:r w:rsidRPr="00BC464C">
      <w:rPr>
        <w:i/>
      </w:rPr>
      <w:t>Non-Represented</w:t>
    </w:r>
    <w:r w:rsidR="0047405E">
      <w:rPr>
        <w:i/>
      </w:rPr>
      <w:t xml:space="preserve"> </w:t>
    </w:r>
    <w:r w:rsidR="0082190C">
      <w:rPr>
        <w:i/>
      </w:rPr>
      <w:t xml:space="preserve">Temporary &amp; Variable Hour </w:t>
    </w:r>
    <w:r w:rsidR="0047405E">
      <w:rPr>
        <w:i/>
      </w:rPr>
      <w:t>Employee</w:t>
    </w:r>
    <w:r w:rsidR="0082190C">
      <w:rPr>
        <w:i/>
      </w:rPr>
      <w:t>s</w:t>
    </w:r>
    <w:r w:rsidRPr="00BC464C">
      <w:rPr>
        <w:i/>
      </w:rPr>
      <w:t xml:space="preserve"> </w:t>
    </w:r>
    <w:r w:rsidRPr="0076632D">
      <w:t>|</w:t>
    </w:r>
    <w:r w:rsidRPr="00BC464C">
      <w:rPr>
        <w:i/>
      </w:rPr>
      <w:t xml:space="preserve"> Benefit Summary for 202</w:t>
    </w:r>
    <w:r w:rsidR="0060588D">
      <w:rPr>
        <w:i/>
      </w:rPr>
      <w:t>3</w:t>
    </w:r>
    <w:r w:rsidRPr="00BC464C">
      <w:rPr>
        <w:i/>
      </w:rPr>
      <w:t>-202</w:t>
    </w:r>
    <w:r w:rsidR="0060588D">
      <w:rPr>
        <w:i/>
      </w:rPr>
      <w:t>4</w:t>
    </w:r>
    <w:r w:rsidRPr="00BC464C">
      <w:rPr>
        <w:i/>
      </w:rPr>
      <w:t xml:space="preserve"> Plan Year</w:t>
    </w:r>
    <w:r>
      <w:t xml:space="preserve"> | </w:t>
    </w:r>
    <w:r>
      <w:rPr>
        <w:i/>
      </w:rPr>
      <w:t xml:space="preserve">Revised: </w:t>
    </w:r>
    <w:r w:rsidR="0060588D">
      <w:rPr>
        <w:i/>
      </w:rPr>
      <w:t>November 6,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889F" w14:textId="77777777" w:rsidR="0014341D" w:rsidRDefault="00143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4E69" w14:textId="77777777" w:rsidR="00E35700" w:rsidRDefault="00E35700" w:rsidP="00A11DB3">
      <w:r>
        <w:separator/>
      </w:r>
    </w:p>
  </w:footnote>
  <w:footnote w:type="continuationSeparator" w:id="0">
    <w:p w14:paraId="3DF7F54F" w14:textId="77777777" w:rsidR="00E35700" w:rsidRDefault="00E35700" w:rsidP="00A11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E55C" w14:textId="77777777" w:rsidR="0014341D" w:rsidRDefault="00143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7853" w14:textId="77777777" w:rsidR="0014341D" w:rsidRDefault="00143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720"/>
    </w:tblGrid>
    <w:tr w:rsidR="00E35700" w:rsidRPr="004A23F2" w14:paraId="571641A0" w14:textId="77777777" w:rsidTr="00357F7D">
      <w:tc>
        <w:tcPr>
          <w:tcW w:w="2070" w:type="dxa"/>
          <w:vAlign w:val="center"/>
        </w:tcPr>
        <w:p w14:paraId="00D0B082" w14:textId="77777777" w:rsidR="00E35700" w:rsidRDefault="00E35700" w:rsidP="00357F7D">
          <w:pPr>
            <w:pStyle w:val="Header"/>
            <w:jc w:val="center"/>
          </w:pPr>
          <w:r>
            <w:rPr>
              <w:noProof/>
              <w:color w:val="221E1F"/>
            </w:rPr>
            <w:drawing>
              <wp:inline distT="0" distB="0" distL="0" distR="0" wp14:anchorId="5CC754F5" wp14:editId="661325ED">
                <wp:extent cx="646630" cy="636604"/>
                <wp:effectExtent l="0" t="0" r="127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871" cy="646687"/>
                        </a:xfrm>
                        <a:prstGeom prst="rect">
                          <a:avLst/>
                        </a:prstGeom>
                        <a:noFill/>
                        <a:ln>
                          <a:noFill/>
                        </a:ln>
                      </pic:spPr>
                    </pic:pic>
                  </a:graphicData>
                </a:graphic>
              </wp:inline>
            </w:drawing>
          </w:r>
        </w:p>
      </w:tc>
      <w:tc>
        <w:tcPr>
          <w:tcW w:w="8720" w:type="dxa"/>
        </w:tcPr>
        <w:p w14:paraId="61100A2C" w14:textId="44FCFC47" w:rsidR="00E35700" w:rsidRPr="00F81D5A" w:rsidRDefault="00E35700" w:rsidP="00F81D5A">
          <w:pPr>
            <w:pStyle w:val="Title"/>
            <w:jc w:val="center"/>
            <w:rPr>
              <w:sz w:val="28"/>
              <w:szCs w:val="28"/>
            </w:rPr>
          </w:pPr>
          <w:r w:rsidRPr="001A7BFA">
            <w:rPr>
              <w:sz w:val="34"/>
              <w:szCs w:val="34"/>
              <w:u w:val="single"/>
            </w:rPr>
            <w:t xml:space="preserve">Non-Represented </w:t>
          </w:r>
          <w:r w:rsidR="001A7BFA" w:rsidRPr="001A7BFA">
            <w:rPr>
              <w:sz w:val="34"/>
              <w:szCs w:val="34"/>
              <w:u w:val="single"/>
            </w:rPr>
            <w:t>Temporary &amp; Variable Hour Employees</w:t>
          </w:r>
          <w:r>
            <w:br/>
          </w:r>
          <w:r w:rsidRPr="00F81D5A">
            <w:rPr>
              <w:sz w:val="28"/>
              <w:szCs w:val="28"/>
            </w:rPr>
            <w:t>Benefit Summary for 202</w:t>
          </w:r>
          <w:r w:rsidR="0014341D">
            <w:rPr>
              <w:sz w:val="28"/>
              <w:szCs w:val="28"/>
            </w:rPr>
            <w:t>3</w:t>
          </w:r>
          <w:r w:rsidRPr="00F81D5A">
            <w:rPr>
              <w:sz w:val="28"/>
              <w:szCs w:val="28"/>
            </w:rPr>
            <w:t>-202</w:t>
          </w:r>
          <w:r w:rsidR="0014341D">
            <w:rPr>
              <w:sz w:val="28"/>
              <w:szCs w:val="28"/>
            </w:rPr>
            <w:t>4</w:t>
          </w:r>
          <w:r w:rsidRPr="00F81D5A">
            <w:rPr>
              <w:sz w:val="28"/>
              <w:szCs w:val="28"/>
            </w:rPr>
            <w:t xml:space="preserve"> Plan Year</w:t>
          </w:r>
          <w:r w:rsidRPr="00F81D5A">
            <w:rPr>
              <w:sz w:val="28"/>
              <w:szCs w:val="28"/>
            </w:rPr>
            <w:br/>
          </w:r>
          <w:r w:rsidRPr="00F81D5A">
            <w:rPr>
              <w:b w:val="0"/>
              <w:i/>
              <w:sz w:val="28"/>
              <w:szCs w:val="28"/>
            </w:rPr>
            <w:t>October 1, 202</w:t>
          </w:r>
          <w:r w:rsidR="0060588D">
            <w:rPr>
              <w:b w:val="0"/>
              <w:i/>
              <w:sz w:val="28"/>
              <w:szCs w:val="28"/>
            </w:rPr>
            <w:t>3</w:t>
          </w:r>
          <w:r w:rsidRPr="00F81D5A">
            <w:rPr>
              <w:b w:val="0"/>
              <w:i/>
              <w:sz w:val="28"/>
              <w:szCs w:val="28"/>
            </w:rPr>
            <w:t xml:space="preserve"> – September 30, 202</w:t>
          </w:r>
          <w:r w:rsidR="0060588D">
            <w:rPr>
              <w:b w:val="0"/>
              <w:i/>
              <w:sz w:val="28"/>
              <w:szCs w:val="28"/>
            </w:rPr>
            <w:t>4</w:t>
          </w:r>
        </w:p>
        <w:p w14:paraId="3F631480" w14:textId="77777777" w:rsidR="00E35700" w:rsidRPr="00F81D5A" w:rsidRDefault="00E35700" w:rsidP="00F67031">
          <w:pPr>
            <w:pStyle w:val="Title"/>
            <w:jc w:val="center"/>
            <w:rPr>
              <w:sz w:val="32"/>
              <w:szCs w:val="32"/>
            </w:rPr>
          </w:pPr>
          <w:r w:rsidRPr="00F81D5A">
            <w:rPr>
              <w:sz w:val="28"/>
              <w:szCs w:val="28"/>
            </w:rPr>
            <w:t>Portland Public Schools</w:t>
          </w:r>
        </w:p>
      </w:tc>
    </w:tr>
  </w:tbl>
  <w:p w14:paraId="0BE069C6" w14:textId="77777777" w:rsidR="00E35700" w:rsidRPr="004A0FA9" w:rsidRDefault="00E35700" w:rsidP="00452749">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70D3E3F"/>
    <w:multiLevelType w:val="multilevel"/>
    <w:tmpl w:val="61427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02A21"/>
    <w:multiLevelType w:val="multilevel"/>
    <w:tmpl w:val="CF8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26B58"/>
    <w:multiLevelType w:val="hybridMultilevel"/>
    <w:tmpl w:val="A46A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57DE"/>
    <w:multiLevelType w:val="multilevel"/>
    <w:tmpl w:val="4FF8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B0889"/>
    <w:multiLevelType w:val="multilevel"/>
    <w:tmpl w:val="646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C36EE"/>
    <w:multiLevelType w:val="hybridMultilevel"/>
    <w:tmpl w:val="03AA0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561A0"/>
    <w:multiLevelType w:val="multilevel"/>
    <w:tmpl w:val="E95A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C4AFF"/>
    <w:multiLevelType w:val="hybridMultilevel"/>
    <w:tmpl w:val="D116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8C1"/>
    <w:multiLevelType w:val="hybridMultilevel"/>
    <w:tmpl w:val="8A6E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C1D69"/>
    <w:multiLevelType w:val="hybridMultilevel"/>
    <w:tmpl w:val="E3BC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445EF"/>
    <w:multiLevelType w:val="hybridMultilevel"/>
    <w:tmpl w:val="62E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95509"/>
    <w:multiLevelType w:val="multilevel"/>
    <w:tmpl w:val="27BA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55E12"/>
    <w:multiLevelType w:val="multilevel"/>
    <w:tmpl w:val="3AEAB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E245C"/>
    <w:multiLevelType w:val="multilevel"/>
    <w:tmpl w:val="13DC1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E0C5E"/>
    <w:multiLevelType w:val="multilevel"/>
    <w:tmpl w:val="2FB46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71F6F"/>
    <w:multiLevelType w:val="hybridMultilevel"/>
    <w:tmpl w:val="2EF8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90281"/>
    <w:multiLevelType w:val="multilevel"/>
    <w:tmpl w:val="612EA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40B65"/>
    <w:multiLevelType w:val="hybridMultilevel"/>
    <w:tmpl w:val="98EE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61880"/>
    <w:multiLevelType w:val="multilevel"/>
    <w:tmpl w:val="1644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05535B"/>
    <w:multiLevelType w:val="hybridMultilevel"/>
    <w:tmpl w:val="00E6C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801BE"/>
    <w:multiLevelType w:val="hybridMultilevel"/>
    <w:tmpl w:val="1FA2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A534E"/>
    <w:multiLevelType w:val="multilevel"/>
    <w:tmpl w:val="415E3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1630D"/>
    <w:multiLevelType w:val="hybridMultilevel"/>
    <w:tmpl w:val="687C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31087"/>
    <w:multiLevelType w:val="multilevel"/>
    <w:tmpl w:val="8B7A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C7572"/>
    <w:multiLevelType w:val="hybridMultilevel"/>
    <w:tmpl w:val="DFA2D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1164E"/>
    <w:multiLevelType w:val="multilevel"/>
    <w:tmpl w:val="D1B4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64DFE"/>
    <w:multiLevelType w:val="multilevel"/>
    <w:tmpl w:val="AE50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15D67"/>
    <w:multiLevelType w:val="hybridMultilevel"/>
    <w:tmpl w:val="E00EF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2DD4"/>
    <w:multiLevelType w:val="hybridMultilevel"/>
    <w:tmpl w:val="D374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122BD"/>
    <w:multiLevelType w:val="multilevel"/>
    <w:tmpl w:val="DB52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0226DB"/>
    <w:multiLevelType w:val="multilevel"/>
    <w:tmpl w:val="A0580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1698C"/>
    <w:multiLevelType w:val="hybridMultilevel"/>
    <w:tmpl w:val="1534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C03AF"/>
    <w:multiLevelType w:val="multilevel"/>
    <w:tmpl w:val="FC26C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881315"/>
    <w:multiLevelType w:val="multilevel"/>
    <w:tmpl w:val="9FCA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975DB"/>
    <w:multiLevelType w:val="hybridMultilevel"/>
    <w:tmpl w:val="2E92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C4ADB"/>
    <w:multiLevelType w:val="hybridMultilevel"/>
    <w:tmpl w:val="D0B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421B4"/>
    <w:multiLevelType w:val="hybridMultilevel"/>
    <w:tmpl w:val="50F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E7A76"/>
    <w:multiLevelType w:val="hybridMultilevel"/>
    <w:tmpl w:val="994C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139E2"/>
    <w:multiLevelType w:val="multilevel"/>
    <w:tmpl w:val="A21A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47BD0"/>
    <w:multiLevelType w:val="hybridMultilevel"/>
    <w:tmpl w:val="3A04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10"/>
  </w:num>
  <w:num w:numId="4">
    <w:abstractNumId w:val="19"/>
  </w:num>
  <w:num w:numId="5">
    <w:abstractNumId w:val="20"/>
  </w:num>
  <w:num w:numId="6">
    <w:abstractNumId w:val="29"/>
  </w:num>
  <w:num w:numId="7">
    <w:abstractNumId w:val="25"/>
  </w:num>
  <w:num w:numId="8">
    <w:abstractNumId w:val="14"/>
  </w:num>
  <w:num w:numId="9">
    <w:abstractNumId w:val="24"/>
  </w:num>
  <w:num w:numId="10">
    <w:abstractNumId w:val="18"/>
  </w:num>
  <w:num w:numId="11">
    <w:abstractNumId w:val="27"/>
  </w:num>
  <w:num w:numId="12">
    <w:abstractNumId w:val="8"/>
  </w:num>
  <w:num w:numId="13">
    <w:abstractNumId w:val="34"/>
  </w:num>
  <w:num w:numId="14">
    <w:abstractNumId w:val="3"/>
  </w:num>
  <w:num w:numId="15">
    <w:abstractNumId w:val="11"/>
  </w:num>
  <w:num w:numId="16">
    <w:abstractNumId w:val="31"/>
  </w:num>
  <w:num w:numId="17">
    <w:abstractNumId w:val="2"/>
  </w:num>
  <w:num w:numId="18">
    <w:abstractNumId w:val="33"/>
  </w:num>
  <w:num w:numId="19">
    <w:abstractNumId w:val="28"/>
  </w:num>
  <w:num w:numId="20">
    <w:abstractNumId w:val="7"/>
  </w:num>
  <w:num w:numId="21">
    <w:abstractNumId w:val="15"/>
  </w:num>
  <w:num w:numId="22">
    <w:abstractNumId w:val="22"/>
  </w:num>
  <w:num w:numId="23">
    <w:abstractNumId w:val="16"/>
  </w:num>
  <w:num w:numId="24">
    <w:abstractNumId w:val="12"/>
  </w:num>
  <w:num w:numId="25">
    <w:abstractNumId w:val="30"/>
  </w:num>
  <w:num w:numId="26">
    <w:abstractNumId w:val="0"/>
  </w:num>
  <w:num w:numId="27">
    <w:abstractNumId w:val="6"/>
  </w:num>
  <w:num w:numId="28">
    <w:abstractNumId w:val="13"/>
  </w:num>
  <w:num w:numId="29">
    <w:abstractNumId w:val="38"/>
  </w:num>
  <w:num w:numId="30">
    <w:abstractNumId w:val="5"/>
  </w:num>
  <w:num w:numId="31">
    <w:abstractNumId w:val="32"/>
  </w:num>
  <w:num w:numId="32">
    <w:abstractNumId w:val="17"/>
  </w:num>
  <w:num w:numId="33">
    <w:abstractNumId w:val="37"/>
  </w:num>
  <w:num w:numId="34">
    <w:abstractNumId w:val="9"/>
  </w:num>
  <w:num w:numId="35">
    <w:abstractNumId w:val="21"/>
  </w:num>
  <w:num w:numId="36">
    <w:abstractNumId w:val="23"/>
  </w:num>
  <w:num w:numId="37">
    <w:abstractNumId w:val="4"/>
  </w:num>
  <w:num w:numId="38">
    <w:abstractNumId w:val="39"/>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B3"/>
    <w:rsid w:val="00001668"/>
    <w:rsid w:val="000036D8"/>
    <w:rsid w:val="000056FE"/>
    <w:rsid w:val="000569EF"/>
    <w:rsid w:val="000B6F4B"/>
    <w:rsid w:val="000B78B9"/>
    <w:rsid w:val="000E70D0"/>
    <w:rsid w:val="00110E28"/>
    <w:rsid w:val="00121703"/>
    <w:rsid w:val="0014341D"/>
    <w:rsid w:val="0014634C"/>
    <w:rsid w:val="001514E7"/>
    <w:rsid w:val="001624E9"/>
    <w:rsid w:val="00181BEA"/>
    <w:rsid w:val="001A7BFA"/>
    <w:rsid w:val="001B7090"/>
    <w:rsid w:val="001C0E84"/>
    <w:rsid w:val="00232A8E"/>
    <w:rsid w:val="00240511"/>
    <w:rsid w:val="00240997"/>
    <w:rsid w:val="002B1E3D"/>
    <w:rsid w:val="002B7C7D"/>
    <w:rsid w:val="002C2153"/>
    <w:rsid w:val="002F036F"/>
    <w:rsid w:val="00320AF7"/>
    <w:rsid w:val="00336C02"/>
    <w:rsid w:val="00357F7D"/>
    <w:rsid w:val="00377F7A"/>
    <w:rsid w:val="003B0001"/>
    <w:rsid w:val="003B53A2"/>
    <w:rsid w:val="003C6230"/>
    <w:rsid w:val="003D3E13"/>
    <w:rsid w:val="003D7AE1"/>
    <w:rsid w:val="00435D46"/>
    <w:rsid w:val="00451087"/>
    <w:rsid w:val="00452749"/>
    <w:rsid w:val="0047405E"/>
    <w:rsid w:val="004833B7"/>
    <w:rsid w:val="004A0FA9"/>
    <w:rsid w:val="004A23F2"/>
    <w:rsid w:val="004F03A5"/>
    <w:rsid w:val="004F2B87"/>
    <w:rsid w:val="005142F6"/>
    <w:rsid w:val="0052402F"/>
    <w:rsid w:val="00586812"/>
    <w:rsid w:val="005C4E80"/>
    <w:rsid w:val="005D460A"/>
    <w:rsid w:val="005E11C0"/>
    <w:rsid w:val="005F29E5"/>
    <w:rsid w:val="0060588D"/>
    <w:rsid w:val="006109B1"/>
    <w:rsid w:val="00617B8A"/>
    <w:rsid w:val="006559D4"/>
    <w:rsid w:val="00681A6B"/>
    <w:rsid w:val="006E5769"/>
    <w:rsid w:val="006E6792"/>
    <w:rsid w:val="00717286"/>
    <w:rsid w:val="007446A8"/>
    <w:rsid w:val="0076632D"/>
    <w:rsid w:val="007712F4"/>
    <w:rsid w:val="007C0FCC"/>
    <w:rsid w:val="007E3D01"/>
    <w:rsid w:val="007E6603"/>
    <w:rsid w:val="0082190C"/>
    <w:rsid w:val="0083088C"/>
    <w:rsid w:val="00874CB5"/>
    <w:rsid w:val="00896234"/>
    <w:rsid w:val="008E0169"/>
    <w:rsid w:val="00905BD9"/>
    <w:rsid w:val="0092047C"/>
    <w:rsid w:val="00941406"/>
    <w:rsid w:val="00965658"/>
    <w:rsid w:val="009A1C7F"/>
    <w:rsid w:val="009E263D"/>
    <w:rsid w:val="009F4EE3"/>
    <w:rsid w:val="00A077C7"/>
    <w:rsid w:val="00A11DB3"/>
    <w:rsid w:val="00A973E7"/>
    <w:rsid w:val="00AB49E3"/>
    <w:rsid w:val="00AD11DF"/>
    <w:rsid w:val="00B2367C"/>
    <w:rsid w:val="00B4146C"/>
    <w:rsid w:val="00B5028E"/>
    <w:rsid w:val="00B733DC"/>
    <w:rsid w:val="00BC464C"/>
    <w:rsid w:val="00BD5D10"/>
    <w:rsid w:val="00BF148F"/>
    <w:rsid w:val="00C12DCD"/>
    <w:rsid w:val="00C16A3D"/>
    <w:rsid w:val="00C522AB"/>
    <w:rsid w:val="00C91026"/>
    <w:rsid w:val="00D107B8"/>
    <w:rsid w:val="00D1413A"/>
    <w:rsid w:val="00D3518A"/>
    <w:rsid w:val="00D53087"/>
    <w:rsid w:val="00D74F15"/>
    <w:rsid w:val="00DB749B"/>
    <w:rsid w:val="00E23C66"/>
    <w:rsid w:val="00E35700"/>
    <w:rsid w:val="00E57638"/>
    <w:rsid w:val="00E74E5A"/>
    <w:rsid w:val="00E81768"/>
    <w:rsid w:val="00EA5523"/>
    <w:rsid w:val="00EB11AC"/>
    <w:rsid w:val="00ED0CB1"/>
    <w:rsid w:val="00ED73DB"/>
    <w:rsid w:val="00F43CB6"/>
    <w:rsid w:val="00F513B6"/>
    <w:rsid w:val="00F67031"/>
    <w:rsid w:val="00F81D5A"/>
    <w:rsid w:val="00F95BA2"/>
    <w:rsid w:val="00F96116"/>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B18B"/>
  <w15:chartTrackingRefBased/>
  <w15:docId w15:val="{A7DFFFB2-FE7A-4F95-8E7C-8A90B2E3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49B"/>
    <w:rPr>
      <w:sz w:val="20"/>
    </w:rPr>
  </w:style>
  <w:style w:type="paragraph" w:styleId="Heading1">
    <w:name w:val="heading 1"/>
    <w:basedOn w:val="Normal"/>
    <w:next w:val="Normal"/>
    <w:link w:val="Heading1Char"/>
    <w:autoRedefine/>
    <w:uiPriority w:val="9"/>
    <w:qFormat/>
    <w:rsid w:val="002B7C7D"/>
    <w:pPr>
      <w:keepNext/>
      <w:keepLines/>
      <w:spacing w:before="120" w:after="120"/>
      <w:jc w:val="center"/>
      <w:outlineLvl w:val="0"/>
    </w:pPr>
    <w:rPr>
      <w:rFonts w:ascii="Cambria" w:eastAsiaTheme="majorEastAsia" w:hAnsi="Cambria" w:cstheme="majorBidi"/>
      <w:b/>
      <w:smallCaps/>
      <w:color w:val="2F5496" w:themeColor="accent1" w:themeShade="BF"/>
      <w:sz w:val="32"/>
      <w:szCs w:val="32"/>
    </w:rPr>
  </w:style>
  <w:style w:type="paragraph" w:styleId="Heading2">
    <w:name w:val="heading 2"/>
    <w:basedOn w:val="Normal"/>
    <w:next w:val="Normal"/>
    <w:link w:val="Heading2Char"/>
    <w:autoRedefine/>
    <w:uiPriority w:val="9"/>
    <w:unhideWhenUsed/>
    <w:qFormat/>
    <w:rsid w:val="002B7C7D"/>
    <w:pPr>
      <w:keepNext/>
      <w:keepLines/>
      <w:spacing w:before="40" w:after="120"/>
      <w:outlineLvl w:val="1"/>
    </w:pPr>
    <w:rPr>
      <w:rFonts w:ascii="Cambria" w:eastAsiaTheme="majorEastAsia" w:hAnsi="Cambria" w:cstheme="majorBidi"/>
      <w:b/>
      <w:smallCaps/>
      <w:color w:val="2F5496" w:themeColor="accent1" w:themeShade="BF"/>
      <w:sz w:val="26"/>
      <w:szCs w:val="26"/>
    </w:rPr>
  </w:style>
  <w:style w:type="paragraph" w:styleId="Heading3">
    <w:name w:val="heading 3"/>
    <w:basedOn w:val="Normal"/>
    <w:next w:val="Normal"/>
    <w:link w:val="Heading3Char"/>
    <w:autoRedefine/>
    <w:uiPriority w:val="9"/>
    <w:unhideWhenUsed/>
    <w:qFormat/>
    <w:rsid w:val="0014634C"/>
    <w:pPr>
      <w:keepNext/>
      <w:keepLines/>
      <w:spacing w:before="40" w:after="120"/>
      <w:outlineLvl w:val="2"/>
    </w:pPr>
    <w:rPr>
      <w:rFonts w:ascii="Cambria" w:eastAsiaTheme="majorEastAsia" w:hAnsi="Cambria" w:cstheme="majorBidi"/>
      <w:b/>
      <w:smallCaps/>
      <w:color w:val="1F3763" w:themeColor="accent1" w:themeShade="7F"/>
      <w:sz w:val="24"/>
      <w:szCs w:val="24"/>
    </w:rPr>
  </w:style>
  <w:style w:type="paragraph" w:styleId="Heading4">
    <w:name w:val="heading 4"/>
    <w:basedOn w:val="Normal"/>
    <w:next w:val="Normal"/>
    <w:link w:val="Heading4Char"/>
    <w:autoRedefine/>
    <w:uiPriority w:val="9"/>
    <w:unhideWhenUsed/>
    <w:qFormat/>
    <w:rsid w:val="002B7C7D"/>
    <w:pPr>
      <w:keepNext/>
      <w:keepLines/>
      <w:spacing w:before="120" w:after="120"/>
      <w:outlineLvl w:val="3"/>
    </w:pPr>
    <w:rPr>
      <w:rFonts w:asciiTheme="majorHAnsi" w:eastAsiaTheme="majorEastAsia" w:hAnsiTheme="majorHAnsi" w:cstheme="majorBidi"/>
      <w:i/>
      <w:iCs/>
      <w:smallCap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DB3"/>
    <w:pPr>
      <w:tabs>
        <w:tab w:val="center" w:pos="4680"/>
        <w:tab w:val="right" w:pos="9360"/>
      </w:tabs>
    </w:pPr>
  </w:style>
  <w:style w:type="character" w:customStyle="1" w:styleId="HeaderChar">
    <w:name w:val="Header Char"/>
    <w:basedOn w:val="DefaultParagraphFont"/>
    <w:link w:val="Header"/>
    <w:uiPriority w:val="99"/>
    <w:rsid w:val="00A11DB3"/>
  </w:style>
  <w:style w:type="paragraph" w:styleId="Footer">
    <w:name w:val="footer"/>
    <w:basedOn w:val="Normal"/>
    <w:link w:val="FooterChar"/>
    <w:uiPriority w:val="99"/>
    <w:unhideWhenUsed/>
    <w:rsid w:val="00A11DB3"/>
    <w:pPr>
      <w:tabs>
        <w:tab w:val="center" w:pos="4680"/>
        <w:tab w:val="right" w:pos="9360"/>
      </w:tabs>
    </w:pPr>
  </w:style>
  <w:style w:type="character" w:customStyle="1" w:styleId="FooterChar">
    <w:name w:val="Footer Char"/>
    <w:basedOn w:val="DefaultParagraphFont"/>
    <w:link w:val="Footer"/>
    <w:uiPriority w:val="99"/>
    <w:rsid w:val="00A11DB3"/>
  </w:style>
  <w:style w:type="paragraph" w:styleId="Title">
    <w:name w:val="Title"/>
    <w:basedOn w:val="Normal"/>
    <w:next w:val="Normal"/>
    <w:link w:val="TitleChar"/>
    <w:autoRedefine/>
    <w:uiPriority w:val="10"/>
    <w:qFormat/>
    <w:rsid w:val="004A23F2"/>
    <w:pPr>
      <w:contextualSpacing/>
      <w:jc w:val="right"/>
    </w:pPr>
    <w:rPr>
      <w:rFonts w:ascii="Cambria" w:eastAsiaTheme="majorEastAsia" w:hAnsi="Cambria" w:cstheme="majorBidi"/>
      <w:b/>
      <w:spacing w:val="-10"/>
      <w:kern w:val="28"/>
      <w:sz w:val="36"/>
      <w:szCs w:val="36"/>
    </w:rPr>
  </w:style>
  <w:style w:type="character" w:customStyle="1" w:styleId="TitleChar">
    <w:name w:val="Title Char"/>
    <w:basedOn w:val="DefaultParagraphFont"/>
    <w:link w:val="Title"/>
    <w:uiPriority w:val="10"/>
    <w:rsid w:val="004A23F2"/>
    <w:rPr>
      <w:rFonts w:ascii="Cambria" w:eastAsiaTheme="majorEastAsia" w:hAnsi="Cambria" w:cstheme="majorBidi"/>
      <w:b/>
      <w:spacing w:val="-10"/>
      <w:kern w:val="28"/>
      <w:sz w:val="36"/>
      <w:szCs w:val="36"/>
    </w:rPr>
  </w:style>
  <w:style w:type="table" w:styleId="TableGrid">
    <w:name w:val="Table Grid"/>
    <w:basedOn w:val="TableNormal"/>
    <w:rsid w:val="00A11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DB3"/>
    <w:rPr>
      <w:color w:val="0563C1" w:themeColor="hyperlink"/>
      <w:u w:val="single"/>
    </w:rPr>
  </w:style>
  <w:style w:type="character" w:styleId="UnresolvedMention">
    <w:name w:val="Unresolved Mention"/>
    <w:basedOn w:val="DefaultParagraphFont"/>
    <w:uiPriority w:val="99"/>
    <w:semiHidden/>
    <w:unhideWhenUsed/>
    <w:rsid w:val="00A11DB3"/>
    <w:rPr>
      <w:color w:val="605E5C"/>
      <w:shd w:val="clear" w:color="auto" w:fill="E1DFDD"/>
    </w:rPr>
  </w:style>
  <w:style w:type="character" w:customStyle="1" w:styleId="Heading1Char">
    <w:name w:val="Heading 1 Char"/>
    <w:basedOn w:val="DefaultParagraphFont"/>
    <w:link w:val="Heading1"/>
    <w:uiPriority w:val="9"/>
    <w:rsid w:val="002B7C7D"/>
    <w:rPr>
      <w:rFonts w:ascii="Cambria" w:eastAsiaTheme="majorEastAsia" w:hAnsi="Cambria" w:cstheme="majorBidi"/>
      <w:b/>
      <w:smallCaps/>
      <w:color w:val="2F5496" w:themeColor="accent1" w:themeShade="BF"/>
      <w:sz w:val="32"/>
      <w:szCs w:val="32"/>
    </w:rPr>
  </w:style>
  <w:style w:type="paragraph" w:styleId="ListParagraph">
    <w:name w:val="List Paragraph"/>
    <w:basedOn w:val="Normal"/>
    <w:uiPriority w:val="34"/>
    <w:qFormat/>
    <w:rsid w:val="00A11DB3"/>
    <w:pPr>
      <w:ind w:left="720"/>
      <w:contextualSpacing/>
    </w:pPr>
  </w:style>
  <w:style w:type="character" w:customStyle="1" w:styleId="Heading2Char">
    <w:name w:val="Heading 2 Char"/>
    <w:basedOn w:val="DefaultParagraphFont"/>
    <w:link w:val="Heading2"/>
    <w:uiPriority w:val="9"/>
    <w:rsid w:val="002B7C7D"/>
    <w:rPr>
      <w:rFonts w:ascii="Cambria" w:eastAsiaTheme="majorEastAsia" w:hAnsi="Cambria" w:cstheme="majorBidi"/>
      <w:b/>
      <w:smallCaps/>
      <w:color w:val="2F5496" w:themeColor="accent1" w:themeShade="BF"/>
      <w:sz w:val="26"/>
      <w:szCs w:val="26"/>
    </w:rPr>
  </w:style>
  <w:style w:type="paragraph" w:styleId="TOCHeading">
    <w:name w:val="TOC Heading"/>
    <w:basedOn w:val="Heading1"/>
    <w:next w:val="Normal"/>
    <w:uiPriority w:val="39"/>
    <w:unhideWhenUsed/>
    <w:qFormat/>
    <w:rsid w:val="00435D46"/>
    <w:pPr>
      <w:spacing w:line="259" w:lineRule="auto"/>
      <w:outlineLvl w:val="9"/>
    </w:pPr>
  </w:style>
  <w:style w:type="paragraph" w:styleId="TOC1">
    <w:name w:val="toc 1"/>
    <w:basedOn w:val="Normal"/>
    <w:next w:val="Normal"/>
    <w:autoRedefine/>
    <w:uiPriority w:val="39"/>
    <w:unhideWhenUsed/>
    <w:rsid w:val="00435D46"/>
    <w:pPr>
      <w:spacing w:after="100"/>
    </w:pPr>
  </w:style>
  <w:style w:type="paragraph" w:styleId="TOC2">
    <w:name w:val="toc 2"/>
    <w:basedOn w:val="Normal"/>
    <w:next w:val="Normal"/>
    <w:autoRedefine/>
    <w:uiPriority w:val="39"/>
    <w:unhideWhenUsed/>
    <w:rsid w:val="00435D46"/>
    <w:pPr>
      <w:spacing w:after="100"/>
      <w:ind w:left="220"/>
    </w:pPr>
  </w:style>
  <w:style w:type="paragraph" w:customStyle="1" w:styleId="Default">
    <w:name w:val="Default"/>
    <w:rsid w:val="000B6F4B"/>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14634C"/>
    <w:rPr>
      <w:rFonts w:ascii="Cambria" w:eastAsiaTheme="majorEastAsia" w:hAnsi="Cambria" w:cstheme="majorBidi"/>
      <w:b/>
      <w:smallCaps/>
      <w:color w:val="1F3763" w:themeColor="accent1" w:themeShade="7F"/>
      <w:sz w:val="24"/>
      <w:szCs w:val="24"/>
    </w:rPr>
  </w:style>
  <w:style w:type="paragraph" w:styleId="NormalWeb">
    <w:name w:val="Normal (Web)"/>
    <w:basedOn w:val="Normal"/>
    <w:uiPriority w:val="99"/>
    <w:semiHidden/>
    <w:unhideWhenUsed/>
    <w:rsid w:val="00336C0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36C02"/>
    <w:rPr>
      <w:b/>
      <w:bCs/>
    </w:rPr>
  </w:style>
  <w:style w:type="character" w:styleId="Emphasis">
    <w:name w:val="Emphasis"/>
    <w:basedOn w:val="DefaultParagraphFont"/>
    <w:uiPriority w:val="20"/>
    <w:qFormat/>
    <w:rsid w:val="00336C02"/>
    <w:rPr>
      <w:i/>
      <w:iCs/>
    </w:rPr>
  </w:style>
  <w:style w:type="table" w:styleId="GridTable4">
    <w:name w:val="Grid Table 4"/>
    <w:basedOn w:val="TableNormal"/>
    <w:uiPriority w:val="49"/>
    <w:rsid w:val="00336C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336C0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edium-insert-ollist">
    <w:name w:val="medium-insert-ollist"/>
    <w:basedOn w:val="Normal"/>
    <w:rsid w:val="00336C02"/>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B7C7D"/>
    <w:rPr>
      <w:rFonts w:asciiTheme="majorHAnsi" w:eastAsiaTheme="majorEastAsia" w:hAnsiTheme="majorHAnsi" w:cstheme="majorBidi"/>
      <w:i/>
      <w:iCs/>
      <w:smallCaps/>
      <w:color w:val="2F5496" w:themeColor="accent1" w:themeShade="BF"/>
      <w:sz w:val="24"/>
    </w:rPr>
  </w:style>
  <w:style w:type="paragraph" w:styleId="TOC3">
    <w:name w:val="toc 3"/>
    <w:basedOn w:val="Normal"/>
    <w:next w:val="Normal"/>
    <w:autoRedefine/>
    <w:uiPriority w:val="39"/>
    <w:unhideWhenUsed/>
    <w:rsid w:val="004F2B87"/>
    <w:pPr>
      <w:spacing w:after="100"/>
      <w:ind w:left="400"/>
    </w:pPr>
  </w:style>
  <w:style w:type="character" w:styleId="FollowedHyperlink">
    <w:name w:val="FollowedHyperlink"/>
    <w:basedOn w:val="DefaultParagraphFont"/>
    <w:uiPriority w:val="99"/>
    <w:semiHidden/>
    <w:unhideWhenUsed/>
    <w:rsid w:val="003B0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292">
      <w:bodyDiv w:val="1"/>
      <w:marLeft w:val="0"/>
      <w:marRight w:val="0"/>
      <w:marTop w:val="0"/>
      <w:marBottom w:val="0"/>
      <w:divBdr>
        <w:top w:val="none" w:sz="0" w:space="0" w:color="auto"/>
        <w:left w:val="none" w:sz="0" w:space="0" w:color="auto"/>
        <w:bottom w:val="none" w:sz="0" w:space="0" w:color="auto"/>
        <w:right w:val="none" w:sz="0" w:space="0" w:color="auto"/>
      </w:divBdr>
    </w:div>
    <w:div w:id="105277145">
      <w:bodyDiv w:val="1"/>
      <w:marLeft w:val="0"/>
      <w:marRight w:val="0"/>
      <w:marTop w:val="0"/>
      <w:marBottom w:val="0"/>
      <w:divBdr>
        <w:top w:val="none" w:sz="0" w:space="0" w:color="auto"/>
        <w:left w:val="none" w:sz="0" w:space="0" w:color="auto"/>
        <w:bottom w:val="none" w:sz="0" w:space="0" w:color="auto"/>
        <w:right w:val="none" w:sz="0" w:space="0" w:color="auto"/>
      </w:divBdr>
    </w:div>
    <w:div w:id="121659568">
      <w:bodyDiv w:val="1"/>
      <w:marLeft w:val="0"/>
      <w:marRight w:val="0"/>
      <w:marTop w:val="0"/>
      <w:marBottom w:val="0"/>
      <w:divBdr>
        <w:top w:val="none" w:sz="0" w:space="0" w:color="auto"/>
        <w:left w:val="none" w:sz="0" w:space="0" w:color="auto"/>
        <w:bottom w:val="none" w:sz="0" w:space="0" w:color="auto"/>
        <w:right w:val="none" w:sz="0" w:space="0" w:color="auto"/>
      </w:divBdr>
    </w:div>
    <w:div w:id="263614055">
      <w:bodyDiv w:val="1"/>
      <w:marLeft w:val="0"/>
      <w:marRight w:val="0"/>
      <w:marTop w:val="0"/>
      <w:marBottom w:val="0"/>
      <w:divBdr>
        <w:top w:val="none" w:sz="0" w:space="0" w:color="auto"/>
        <w:left w:val="none" w:sz="0" w:space="0" w:color="auto"/>
        <w:bottom w:val="none" w:sz="0" w:space="0" w:color="auto"/>
        <w:right w:val="none" w:sz="0" w:space="0" w:color="auto"/>
      </w:divBdr>
    </w:div>
    <w:div w:id="275676598">
      <w:bodyDiv w:val="1"/>
      <w:marLeft w:val="0"/>
      <w:marRight w:val="0"/>
      <w:marTop w:val="0"/>
      <w:marBottom w:val="0"/>
      <w:divBdr>
        <w:top w:val="none" w:sz="0" w:space="0" w:color="auto"/>
        <w:left w:val="none" w:sz="0" w:space="0" w:color="auto"/>
        <w:bottom w:val="none" w:sz="0" w:space="0" w:color="auto"/>
        <w:right w:val="none" w:sz="0" w:space="0" w:color="auto"/>
      </w:divBdr>
    </w:div>
    <w:div w:id="437406275">
      <w:bodyDiv w:val="1"/>
      <w:marLeft w:val="0"/>
      <w:marRight w:val="0"/>
      <w:marTop w:val="0"/>
      <w:marBottom w:val="0"/>
      <w:divBdr>
        <w:top w:val="none" w:sz="0" w:space="0" w:color="auto"/>
        <w:left w:val="none" w:sz="0" w:space="0" w:color="auto"/>
        <w:bottom w:val="none" w:sz="0" w:space="0" w:color="auto"/>
        <w:right w:val="none" w:sz="0" w:space="0" w:color="auto"/>
      </w:divBdr>
    </w:div>
    <w:div w:id="517087572">
      <w:bodyDiv w:val="1"/>
      <w:marLeft w:val="0"/>
      <w:marRight w:val="0"/>
      <w:marTop w:val="0"/>
      <w:marBottom w:val="0"/>
      <w:divBdr>
        <w:top w:val="none" w:sz="0" w:space="0" w:color="auto"/>
        <w:left w:val="none" w:sz="0" w:space="0" w:color="auto"/>
        <w:bottom w:val="none" w:sz="0" w:space="0" w:color="auto"/>
        <w:right w:val="none" w:sz="0" w:space="0" w:color="auto"/>
      </w:divBdr>
    </w:div>
    <w:div w:id="558980461">
      <w:bodyDiv w:val="1"/>
      <w:marLeft w:val="0"/>
      <w:marRight w:val="0"/>
      <w:marTop w:val="0"/>
      <w:marBottom w:val="0"/>
      <w:divBdr>
        <w:top w:val="none" w:sz="0" w:space="0" w:color="auto"/>
        <w:left w:val="none" w:sz="0" w:space="0" w:color="auto"/>
        <w:bottom w:val="none" w:sz="0" w:space="0" w:color="auto"/>
        <w:right w:val="none" w:sz="0" w:space="0" w:color="auto"/>
      </w:divBdr>
    </w:div>
    <w:div w:id="664094575">
      <w:bodyDiv w:val="1"/>
      <w:marLeft w:val="0"/>
      <w:marRight w:val="0"/>
      <w:marTop w:val="0"/>
      <w:marBottom w:val="0"/>
      <w:divBdr>
        <w:top w:val="none" w:sz="0" w:space="0" w:color="auto"/>
        <w:left w:val="none" w:sz="0" w:space="0" w:color="auto"/>
        <w:bottom w:val="none" w:sz="0" w:space="0" w:color="auto"/>
        <w:right w:val="none" w:sz="0" w:space="0" w:color="auto"/>
      </w:divBdr>
      <w:divsChild>
        <w:div w:id="555161713">
          <w:marLeft w:val="0"/>
          <w:marRight w:val="0"/>
          <w:marTop w:val="0"/>
          <w:marBottom w:val="0"/>
          <w:divBdr>
            <w:top w:val="none" w:sz="0" w:space="0" w:color="auto"/>
            <w:left w:val="none" w:sz="0" w:space="0" w:color="auto"/>
            <w:bottom w:val="none" w:sz="0" w:space="0" w:color="auto"/>
            <w:right w:val="none" w:sz="0" w:space="0" w:color="auto"/>
          </w:divBdr>
        </w:div>
      </w:divsChild>
    </w:div>
    <w:div w:id="697315350">
      <w:bodyDiv w:val="1"/>
      <w:marLeft w:val="0"/>
      <w:marRight w:val="0"/>
      <w:marTop w:val="0"/>
      <w:marBottom w:val="0"/>
      <w:divBdr>
        <w:top w:val="none" w:sz="0" w:space="0" w:color="auto"/>
        <w:left w:val="none" w:sz="0" w:space="0" w:color="auto"/>
        <w:bottom w:val="none" w:sz="0" w:space="0" w:color="auto"/>
        <w:right w:val="none" w:sz="0" w:space="0" w:color="auto"/>
      </w:divBdr>
    </w:div>
    <w:div w:id="713846023">
      <w:bodyDiv w:val="1"/>
      <w:marLeft w:val="0"/>
      <w:marRight w:val="0"/>
      <w:marTop w:val="0"/>
      <w:marBottom w:val="0"/>
      <w:divBdr>
        <w:top w:val="none" w:sz="0" w:space="0" w:color="auto"/>
        <w:left w:val="none" w:sz="0" w:space="0" w:color="auto"/>
        <w:bottom w:val="none" w:sz="0" w:space="0" w:color="auto"/>
        <w:right w:val="none" w:sz="0" w:space="0" w:color="auto"/>
      </w:divBdr>
    </w:div>
    <w:div w:id="763187538">
      <w:bodyDiv w:val="1"/>
      <w:marLeft w:val="0"/>
      <w:marRight w:val="0"/>
      <w:marTop w:val="0"/>
      <w:marBottom w:val="0"/>
      <w:divBdr>
        <w:top w:val="none" w:sz="0" w:space="0" w:color="auto"/>
        <w:left w:val="none" w:sz="0" w:space="0" w:color="auto"/>
        <w:bottom w:val="none" w:sz="0" w:space="0" w:color="auto"/>
        <w:right w:val="none" w:sz="0" w:space="0" w:color="auto"/>
      </w:divBdr>
    </w:div>
    <w:div w:id="931161193">
      <w:bodyDiv w:val="1"/>
      <w:marLeft w:val="0"/>
      <w:marRight w:val="0"/>
      <w:marTop w:val="0"/>
      <w:marBottom w:val="0"/>
      <w:divBdr>
        <w:top w:val="none" w:sz="0" w:space="0" w:color="auto"/>
        <w:left w:val="none" w:sz="0" w:space="0" w:color="auto"/>
        <w:bottom w:val="none" w:sz="0" w:space="0" w:color="auto"/>
        <w:right w:val="none" w:sz="0" w:space="0" w:color="auto"/>
      </w:divBdr>
      <w:divsChild>
        <w:div w:id="1649632181">
          <w:marLeft w:val="0"/>
          <w:marRight w:val="0"/>
          <w:marTop w:val="0"/>
          <w:marBottom w:val="0"/>
          <w:divBdr>
            <w:top w:val="none" w:sz="0" w:space="0" w:color="auto"/>
            <w:left w:val="none" w:sz="0" w:space="0" w:color="auto"/>
            <w:bottom w:val="none" w:sz="0" w:space="0" w:color="auto"/>
            <w:right w:val="none" w:sz="0" w:space="0" w:color="auto"/>
          </w:divBdr>
        </w:div>
      </w:divsChild>
    </w:div>
    <w:div w:id="1032730218">
      <w:bodyDiv w:val="1"/>
      <w:marLeft w:val="0"/>
      <w:marRight w:val="0"/>
      <w:marTop w:val="0"/>
      <w:marBottom w:val="0"/>
      <w:divBdr>
        <w:top w:val="none" w:sz="0" w:space="0" w:color="auto"/>
        <w:left w:val="none" w:sz="0" w:space="0" w:color="auto"/>
        <w:bottom w:val="none" w:sz="0" w:space="0" w:color="auto"/>
        <w:right w:val="none" w:sz="0" w:space="0" w:color="auto"/>
      </w:divBdr>
    </w:div>
    <w:div w:id="1064992203">
      <w:bodyDiv w:val="1"/>
      <w:marLeft w:val="0"/>
      <w:marRight w:val="0"/>
      <w:marTop w:val="0"/>
      <w:marBottom w:val="0"/>
      <w:divBdr>
        <w:top w:val="none" w:sz="0" w:space="0" w:color="auto"/>
        <w:left w:val="none" w:sz="0" w:space="0" w:color="auto"/>
        <w:bottom w:val="none" w:sz="0" w:space="0" w:color="auto"/>
        <w:right w:val="none" w:sz="0" w:space="0" w:color="auto"/>
      </w:divBdr>
    </w:div>
    <w:div w:id="1066683848">
      <w:bodyDiv w:val="1"/>
      <w:marLeft w:val="0"/>
      <w:marRight w:val="0"/>
      <w:marTop w:val="0"/>
      <w:marBottom w:val="0"/>
      <w:divBdr>
        <w:top w:val="none" w:sz="0" w:space="0" w:color="auto"/>
        <w:left w:val="none" w:sz="0" w:space="0" w:color="auto"/>
        <w:bottom w:val="none" w:sz="0" w:space="0" w:color="auto"/>
        <w:right w:val="none" w:sz="0" w:space="0" w:color="auto"/>
      </w:divBdr>
    </w:div>
    <w:div w:id="1075316980">
      <w:bodyDiv w:val="1"/>
      <w:marLeft w:val="0"/>
      <w:marRight w:val="0"/>
      <w:marTop w:val="0"/>
      <w:marBottom w:val="0"/>
      <w:divBdr>
        <w:top w:val="none" w:sz="0" w:space="0" w:color="auto"/>
        <w:left w:val="none" w:sz="0" w:space="0" w:color="auto"/>
        <w:bottom w:val="none" w:sz="0" w:space="0" w:color="auto"/>
        <w:right w:val="none" w:sz="0" w:space="0" w:color="auto"/>
      </w:divBdr>
    </w:div>
    <w:div w:id="1123811591">
      <w:bodyDiv w:val="1"/>
      <w:marLeft w:val="0"/>
      <w:marRight w:val="0"/>
      <w:marTop w:val="0"/>
      <w:marBottom w:val="0"/>
      <w:divBdr>
        <w:top w:val="none" w:sz="0" w:space="0" w:color="auto"/>
        <w:left w:val="none" w:sz="0" w:space="0" w:color="auto"/>
        <w:bottom w:val="none" w:sz="0" w:space="0" w:color="auto"/>
        <w:right w:val="none" w:sz="0" w:space="0" w:color="auto"/>
      </w:divBdr>
    </w:div>
    <w:div w:id="1161895377">
      <w:bodyDiv w:val="1"/>
      <w:marLeft w:val="0"/>
      <w:marRight w:val="0"/>
      <w:marTop w:val="0"/>
      <w:marBottom w:val="0"/>
      <w:divBdr>
        <w:top w:val="none" w:sz="0" w:space="0" w:color="auto"/>
        <w:left w:val="none" w:sz="0" w:space="0" w:color="auto"/>
        <w:bottom w:val="none" w:sz="0" w:space="0" w:color="auto"/>
        <w:right w:val="none" w:sz="0" w:space="0" w:color="auto"/>
      </w:divBdr>
    </w:div>
    <w:div w:id="1217013032">
      <w:bodyDiv w:val="1"/>
      <w:marLeft w:val="0"/>
      <w:marRight w:val="0"/>
      <w:marTop w:val="0"/>
      <w:marBottom w:val="0"/>
      <w:divBdr>
        <w:top w:val="none" w:sz="0" w:space="0" w:color="auto"/>
        <w:left w:val="none" w:sz="0" w:space="0" w:color="auto"/>
        <w:bottom w:val="none" w:sz="0" w:space="0" w:color="auto"/>
        <w:right w:val="none" w:sz="0" w:space="0" w:color="auto"/>
      </w:divBdr>
    </w:div>
    <w:div w:id="1217619957">
      <w:bodyDiv w:val="1"/>
      <w:marLeft w:val="0"/>
      <w:marRight w:val="0"/>
      <w:marTop w:val="0"/>
      <w:marBottom w:val="0"/>
      <w:divBdr>
        <w:top w:val="none" w:sz="0" w:space="0" w:color="auto"/>
        <w:left w:val="none" w:sz="0" w:space="0" w:color="auto"/>
        <w:bottom w:val="none" w:sz="0" w:space="0" w:color="auto"/>
        <w:right w:val="none" w:sz="0" w:space="0" w:color="auto"/>
      </w:divBdr>
    </w:div>
    <w:div w:id="1234311494">
      <w:bodyDiv w:val="1"/>
      <w:marLeft w:val="0"/>
      <w:marRight w:val="0"/>
      <w:marTop w:val="0"/>
      <w:marBottom w:val="0"/>
      <w:divBdr>
        <w:top w:val="none" w:sz="0" w:space="0" w:color="auto"/>
        <w:left w:val="none" w:sz="0" w:space="0" w:color="auto"/>
        <w:bottom w:val="none" w:sz="0" w:space="0" w:color="auto"/>
        <w:right w:val="none" w:sz="0" w:space="0" w:color="auto"/>
      </w:divBdr>
    </w:div>
    <w:div w:id="1322195884">
      <w:bodyDiv w:val="1"/>
      <w:marLeft w:val="0"/>
      <w:marRight w:val="0"/>
      <w:marTop w:val="0"/>
      <w:marBottom w:val="0"/>
      <w:divBdr>
        <w:top w:val="none" w:sz="0" w:space="0" w:color="auto"/>
        <w:left w:val="none" w:sz="0" w:space="0" w:color="auto"/>
        <w:bottom w:val="none" w:sz="0" w:space="0" w:color="auto"/>
        <w:right w:val="none" w:sz="0" w:space="0" w:color="auto"/>
      </w:divBdr>
    </w:div>
    <w:div w:id="1588076694">
      <w:bodyDiv w:val="1"/>
      <w:marLeft w:val="0"/>
      <w:marRight w:val="0"/>
      <w:marTop w:val="0"/>
      <w:marBottom w:val="0"/>
      <w:divBdr>
        <w:top w:val="none" w:sz="0" w:space="0" w:color="auto"/>
        <w:left w:val="none" w:sz="0" w:space="0" w:color="auto"/>
        <w:bottom w:val="none" w:sz="0" w:space="0" w:color="auto"/>
        <w:right w:val="none" w:sz="0" w:space="0" w:color="auto"/>
      </w:divBdr>
    </w:div>
    <w:div w:id="1620339560">
      <w:bodyDiv w:val="1"/>
      <w:marLeft w:val="0"/>
      <w:marRight w:val="0"/>
      <w:marTop w:val="0"/>
      <w:marBottom w:val="0"/>
      <w:divBdr>
        <w:top w:val="none" w:sz="0" w:space="0" w:color="auto"/>
        <w:left w:val="none" w:sz="0" w:space="0" w:color="auto"/>
        <w:bottom w:val="none" w:sz="0" w:space="0" w:color="auto"/>
        <w:right w:val="none" w:sz="0" w:space="0" w:color="auto"/>
      </w:divBdr>
    </w:div>
    <w:div w:id="1652371394">
      <w:bodyDiv w:val="1"/>
      <w:marLeft w:val="0"/>
      <w:marRight w:val="0"/>
      <w:marTop w:val="0"/>
      <w:marBottom w:val="0"/>
      <w:divBdr>
        <w:top w:val="none" w:sz="0" w:space="0" w:color="auto"/>
        <w:left w:val="none" w:sz="0" w:space="0" w:color="auto"/>
        <w:bottom w:val="none" w:sz="0" w:space="0" w:color="auto"/>
        <w:right w:val="none" w:sz="0" w:space="0" w:color="auto"/>
      </w:divBdr>
    </w:div>
    <w:div w:id="1657107127">
      <w:bodyDiv w:val="1"/>
      <w:marLeft w:val="0"/>
      <w:marRight w:val="0"/>
      <w:marTop w:val="0"/>
      <w:marBottom w:val="0"/>
      <w:divBdr>
        <w:top w:val="none" w:sz="0" w:space="0" w:color="auto"/>
        <w:left w:val="none" w:sz="0" w:space="0" w:color="auto"/>
        <w:bottom w:val="none" w:sz="0" w:space="0" w:color="auto"/>
        <w:right w:val="none" w:sz="0" w:space="0" w:color="auto"/>
      </w:divBdr>
    </w:div>
    <w:div w:id="1671130290">
      <w:bodyDiv w:val="1"/>
      <w:marLeft w:val="0"/>
      <w:marRight w:val="0"/>
      <w:marTop w:val="0"/>
      <w:marBottom w:val="0"/>
      <w:divBdr>
        <w:top w:val="none" w:sz="0" w:space="0" w:color="auto"/>
        <w:left w:val="none" w:sz="0" w:space="0" w:color="auto"/>
        <w:bottom w:val="none" w:sz="0" w:space="0" w:color="auto"/>
        <w:right w:val="none" w:sz="0" w:space="0" w:color="auto"/>
      </w:divBdr>
    </w:div>
    <w:div w:id="1672827857">
      <w:bodyDiv w:val="1"/>
      <w:marLeft w:val="0"/>
      <w:marRight w:val="0"/>
      <w:marTop w:val="0"/>
      <w:marBottom w:val="0"/>
      <w:divBdr>
        <w:top w:val="none" w:sz="0" w:space="0" w:color="auto"/>
        <w:left w:val="none" w:sz="0" w:space="0" w:color="auto"/>
        <w:bottom w:val="none" w:sz="0" w:space="0" w:color="auto"/>
        <w:right w:val="none" w:sz="0" w:space="0" w:color="auto"/>
      </w:divBdr>
    </w:div>
    <w:div w:id="1688482378">
      <w:bodyDiv w:val="1"/>
      <w:marLeft w:val="0"/>
      <w:marRight w:val="0"/>
      <w:marTop w:val="0"/>
      <w:marBottom w:val="0"/>
      <w:divBdr>
        <w:top w:val="none" w:sz="0" w:space="0" w:color="auto"/>
        <w:left w:val="none" w:sz="0" w:space="0" w:color="auto"/>
        <w:bottom w:val="none" w:sz="0" w:space="0" w:color="auto"/>
        <w:right w:val="none" w:sz="0" w:space="0" w:color="auto"/>
      </w:divBdr>
    </w:div>
    <w:div w:id="1727800202">
      <w:bodyDiv w:val="1"/>
      <w:marLeft w:val="0"/>
      <w:marRight w:val="0"/>
      <w:marTop w:val="0"/>
      <w:marBottom w:val="0"/>
      <w:divBdr>
        <w:top w:val="none" w:sz="0" w:space="0" w:color="auto"/>
        <w:left w:val="none" w:sz="0" w:space="0" w:color="auto"/>
        <w:bottom w:val="none" w:sz="0" w:space="0" w:color="auto"/>
        <w:right w:val="none" w:sz="0" w:space="0" w:color="auto"/>
      </w:divBdr>
    </w:div>
    <w:div w:id="1749227419">
      <w:bodyDiv w:val="1"/>
      <w:marLeft w:val="0"/>
      <w:marRight w:val="0"/>
      <w:marTop w:val="0"/>
      <w:marBottom w:val="0"/>
      <w:divBdr>
        <w:top w:val="none" w:sz="0" w:space="0" w:color="auto"/>
        <w:left w:val="none" w:sz="0" w:space="0" w:color="auto"/>
        <w:bottom w:val="none" w:sz="0" w:space="0" w:color="auto"/>
        <w:right w:val="none" w:sz="0" w:space="0" w:color="auto"/>
      </w:divBdr>
    </w:div>
    <w:div w:id="1776174967">
      <w:bodyDiv w:val="1"/>
      <w:marLeft w:val="0"/>
      <w:marRight w:val="0"/>
      <w:marTop w:val="0"/>
      <w:marBottom w:val="0"/>
      <w:divBdr>
        <w:top w:val="none" w:sz="0" w:space="0" w:color="auto"/>
        <w:left w:val="none" w:sz="0" w:space="0" w:color="auto"/>
        <w:bottom w:val="none" w:sz="0" w:space="0" w:color="auto"/>
        <w:right w:val="none" w:sz="0" w:space="0" w:color="auto"/>
      </w:divBdr>
    </w:div>
    <w:div w:id="1821144622">
      <w:bodyDiv w:val="1"/>
      <w:marLeft w:val="0"/>
      <w:marRight w:val="0"/>
      <w:marTop w:val="0"/>
      <w:marBottom w:val="0"/>
      <w:divBdr>
        <w:top w:val="none" w:sz="0" w:space="0" w:color="auto"/>
        <w:left w:val="none" w:sz="0" w:space="0" w:color="auto"/>
        <w:bottom w:val="none" w:sz="0" w:space="0" w:color="auto"/>
        <w:right w:val="none" w:sz="0" w:space="0" w:color="auto"/>
      </w:divBdr>
    </w:div>
    <w:div w:id="1836678365">
      <w:bodyDiv w:val="1"/>
      <w:marLeft w:val="0"/>
      <w:marRight w:val="0"/>
      <w:marTop w:val="0"/>
      <w:marBottom w:val="0"/>
      <w:divBdr>
        <w:top w:val="none" w:sz="0" w:space="0" w:color="auto"/>
        <w:left w:val="none" w:sz="0" w:space="0" w:color="auto"/>
        <w:bottom w:val="none" w:sz="0" w:space="0" w:color="auto"/>
        <w:right w:val="none" w:sz="0" w:space="0" w:color="auto"/>
      </w:divBdr>
    </w:div>
    <w:div w:id="1946844177">
      <w:bodyDiv w:val="1"/>
      <w:marLeft w:val="0"/>
      <w:marRight w:val="0"/>
      <w:marTop w:val="0"/>
      <w:marBottom w:val="0"/>
      <w:divBdr>
        <w:top w:val="none" w:sz="0" w:space="0" w:color="auto"/>
        <w:left w:val="none" w:sz="0" w:space="0" w:color="auto"/>
        <w:bottom w:val="none" w:sz="0" w:space="0" w:color="auto"/>
        <w:right w:val="none" w:sz="0" w:space="0" w:color="auto"/>
      </w:divBdr>
    </w:div>
    <w:div w:id="21403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net/Page/1636" TargetMode="External"/><Relationship Id="rId13" Type="http://schemas.openxmlformats.org/officeDocument/2006/relationships/footer" Target="footer2.xml"/><Relationship Id="rId18" Type="http://schemas.openxmlformats.org/officeDocument/2006/relationships/hyperlink" Target="https://www.pps.net/Page/7324" TargetMode="External"/><Relationship Id="rId3" Type="http://schemas.openxmlformats.org/officeDocument/2006/relationships/styles" Target="styles.xml"/><Relationship Id="rId21" Type="http://schemas.openxmlformats.org/officeDocument/2006/relationships/hyperlink" Target="https://www.pps.net/Page/1890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ps.net/Page/7324" TargetMode="External"/><Relationship Id="rId2" Type="http://schemas.openxmlformats.org/officeDocument/2006/relationships/numbering" Target="numbering.xml"/><Relationship Id="rId16" Type="http://schemas.openxmlformats.org/officeDocument/2006/relationships/hyperlink" Target="https://mybenefits.kaiserpermanente.org/oebb/plans" TargetMode="External"/><Relationship Id="rId20" Type="http://schemas.openxmlformats.org/officeDocument/2006/relationships/hyperlink" Target="https://www.pps.net/Page/18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pps.net/Page/18906" TargetMode="External"/><Relationship Id="rId4" Type="http://schemas.openxmlformats.org/officeDocument/2006/relationships/settings" Target="settings.xml"/><Relationship Id="rId9" Type="http://schemas.openxmlformats.org/officeDocument/2006/relationships/hyperlink" Target="https://selfservice.pps.net"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85D8-473F-476D-92FF-88DE5E65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Lauderdale</dc:creator>
  <cp:keywords/>
  <dc:description/>
  <cp:lastModifiedBy>Heidi Nosler</cp:lastModifiedBy>
  <cp:revision>7</cp:revision>
  <cp:lastPrinted>2023-01-11T21:25:00Z</cp:lastPrinted>
  <dcterms:created xsi:type="dcterms:W3CDTF">2023-11-06T22:26:00Z</dcterms:created>
  <dcterms:modified xsi:type="dcterms:W3CDTF">2023-11-06T23:40:00Z</dcterms:modified>
</cp:coreProperties>
</file>